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419AB15D"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115AA03F" w:rsidR="00D07095" w:rsidRPr="00402C3E" w:rsidRDefault="009C3A78" w:rsidP="004005B5">
      <w:pPr>
        <w:pStyle w:val="Heading"/>
        <w:tabs>
          <w:tab w:val="left" w:pos="0"/>
        </w:tabs>
        <w:spacing w:before="0" w:after="0"/>
        <w:ind w:firstLine="1"/>
        <w:rPr>
          <w:sz w:val="22"/>
          <w:szCs w:val="22"/>
        </w:rPr>
      </w:pPr>
      <w:r>
        <w:rPr>
          <w:szCs w:val="22"/>
        </w:rPr>
        <w:t>INT-009-</w:t>
      </w:r>
      <w:r w:rsidR="00C07BC8">
        <w:rPr>
          <w:szCs w:val="22"/>
        </w:rPr>
        <w:t>3</w:t>
      </w:r>
      <w:r w:rsidR="0043375A" w:rsidRPr="00F548BE">
        <w:rPr>
          <w:szCs w:val="22"/>
        </w:rPr>
        <w:t xml:space="preserve"> – </w:t>
      </w:r>
      <w:r w:rsidR="00577925">
        <w:rPr>
          <w:szCs w:val="22"/>
        </w:rPr>
        <w:t>Implementation of Interchange</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1DC0BC2D" w14:textId="77777777" w:rsidTr="00C1568A">
        <w:tc>
          <w:tcPr>
            <w:tcW w:w="3888" w:type="dxa"/>
          </w:tcPr>
          <w:p w14:paraId="142BA7B8"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3B1E72D4" w14:textId="77777777" w:rsidTr="00C1568A">
        <w:tc>
          <w:tcPr>
            <w:tcW w:w="3888" w:type="dxa"/>
          </w:tcPr>
          <w:p w14:paraId="43EB6A0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EE246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EE246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EE246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EE246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6B2CC621"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294F58" w:rsidRPr="00171071" w14:paraId="2331BECA" w14:textId="77777777" w:rsidTr="00FE4A7A">
        <w:tc>
          <w:tcPr>
            <w:tcW w:w="605" w:type="dxa"/>
            <w:shd w:val="clear" w:color="auto" w:fill="DCDCFF"/>
          </w:tcPr>
          <w:p w14:paraId="44EAFC9D" w14:textId="77777777" w:rsidR="00294F58" w:rsidRPr="00171071" w:rsidRDefault="00294F58" w:rsidP="00171071">
            <w:pPr>
              <w:jc w:val="center"/>
              <w:rPr>
                <w:rFonts w:asciiTheme="minorHAnsi" w:hAnsiTheme="minorHAnsi"/>
                <w:b/>
                <w:sz w:val="20"/>
                <w:szCs w:val="20"/>
              </w:rPr>
            </w:pPr>
          </w:p>
        </w:tc>
        <w:tc>
          <w:tcPr>
            <w:tcW w:w="605" w:type="dxa"/>
            <w:shd w:val="clear" w:color="auto" w:fill="DCDCFF"/>
          </w:tcPr>
          <w:p w14:paraId="05E9EF80"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4576F87" w14:textId="5F1F3514" w:rsidR="00294F58" w:rsidRPr="00171071" w:rsidRDefault="00294F58" w:rsidP="0029340F">
            <w:pPr>
              <w:jc w:val="center"/>
              <w:rPr>
                <w:rFonts w:asciiTheme="minorHAnsi" w:hAnsiTheme="minorHAnsi"/>
                <w:b/>
                <w:sz w:val="20"/>
                <w:szCs w:val="20"/>
              </w:rPr>
            </w:pPr>
            <w:r w:rsidRPr="00171071">
              <w:rPr>
                <w:rFonts w:asciiTheme="minorHAnsi" w:hAnsiTheme="minorHAnsi"/>
                <w:b/>
                <w:sz w:val="20"/>
                <w:szCs w:val="20"/>
              </w:rPr>
              <w:t>P</w:t>
            </w:r>
            <w:r w:rsidR="0029340F">
              <w:rPr>
                <w:rFonts w:asciiTheme="minorHAnsi" w:hAnsiTheme="minorHAnsi"/>
                <w:b/>
                <w:sz w:val="20"/>
                <w:szCs w:val="20"/>
              </w:rPr>
              <w:t>C</w:t>
            </w:r>
          </w:p>
        </w:tc>
        <w:tc>
          <w:tcPr>
            <w:tcW w:w="605" w:type="dxa"/>
            <w:shd w:val="clear" w:color="auto" w:fill="DCDCFF"/>
          </w:tcPr>
          <w:p w14:paraId="54992839"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TSP</w:t>
            </w:r>
          </w:p>
        </w:tc>
      </w:tr>
      <w:tr w:rsidR="00294F58" w:rsidRPr="00171071" w14:paraId="432E350B" w14:textId="77777777" w:rsidTr="00FE4A7A">
        <w:tc>
          <w:tcPr>
            <w:tcW w:w="605" w:type="dxa"/>
            <w:shd w:val="clear" w:color="auto" w:fill="DCDCFF"/>
          </w:tcPr>
          <w:p w14:paraId="467103F4" w14:textId="77777777" w:rsidR="00294F58" w:rsidRPr="00171071" w:rsidRDefault="00294F58"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3AE04B89" w:rsidR="00294F58" w:rsidRPr="00171071" w:rsidRDefault="00294F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8D342C"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D1763C3" w14:textId="755C27B5" w:rsidR="00294F58" w:rsidRPr="00171071" w:rsidRDefault="00294F58" w:rsidP="00171071">
            <w:pPr>
              <w:jc w:val="center"/>
              <w:rPr>
                <w:rFonts w:asciiTheme="minorHAnsi" w:hAnsiTheme="minorHAnsi"/>
                <w:sz w:val="20"/>
                <w:szCs w:val="20"/>
              </w:rPr>
            </w:pPr>
          </w:p>
        </w:tc>
        <w:tc>
          <w:tcPr>
            <w:tcW w:w="605" w:type="dxa"/>
            <w:shd w:val="clear" w:color="auto" w:fill="DCDCFF"/>
          </w:tcPr>
          <w:p w14:paraId="455AF945"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0A5BF98"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0887695"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E39F869"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0FBBC86"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747C1520"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7437285"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18D48EF"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433D2E4" w14:textId="77777777" w:rsidR="00294F58" w:rsidRPr="00171071" w:rsidRDefault="00294F58" w:rsidP="00171071">
            <w:pPr>
              <w:jc w:val="center"/>
              <w:rPr>
                <w:rFonts w:asciiTheme="minorHAnsi" w:hAnsiTheme="minorHAnsi"/>
                <w:sz w:val="20"/>
                <w:szCs w:val="20"/>
              </w:rPr>
            </w:pPr>
          </w:p>
        </w:tc>
      </w:tr>
      <w:tr w:rsidR="00294F58" w:rsidRPr="00171071" w14:paraId="27041F40" w14:textId="77777777" w:rsidTr="00FE4A7A">
        <w:tc>
          <w:tcPr>
            <w:tcW w:w="605" w:type="dxa"/>
            <w:shd w:val="clear" w:color="auto" w:fill="DCDCFF"/>
          </w:tcPr>
          <w:p w14:paraId="249EF009" w14:textId="76F22107" w:rsidR="00294F58" w:rsidRPr="00171071" w:rsidRDefault="00294F58" w:rsidP="000B0E7C">
            <w:pPr>
              <w:rPr>
                <w:rFonts w:asciiTheme="minorHAnsi" w:hAnsiTheme="minorHAnsi"/>
                <w:b/>
                <w:sz w:val="20"/>
                <w:szCs w:val="20"/>
              </w:rPr>
            </w:pPr>
            <w:r>
              <w:rPr>
                <w:rFonts w:asciiTheme="minorHAnsi" w:hAnsiTheme="minorHAnsi"/>
                <w:b/>
                <w:sz w:val="20"/>
                <w:szCs w:val="20"/>
              </w:rPr>
              <w:t>R2</w:t>
            </w:r>
          </w:p>
        </w:tc>
        <w:tc>
          <w:tcPr>
            <w:tcW w:w="605" w:type="dxa"/>
            <w:shd w:val="clear" w:color="auto" w:fill="DCDCFF"/>
          </w:tcPr>
          <w:p w14:paraId="006B5DB8" w14:textId="3278DA3A" w:rsidR="00294F58" w:rsidRPr="00171071" w:rsidRDefault="00294F58" w:rsidP="00171071">
            <w:pPr>
              <w:jc w:val="center"/>
              <w:rPr>
                <w:rFonts w:asciiTheme="minorHAnsi" w:hAnsiTheme="minorHAnsi"/>
                <w:sz w:val="20"/>
                <w:szCs w:val="20"/>
              </w:rPr>
            </w:pPr>
          </w:p>
        </w:tc>
        <w:tc>
          <w:tcPr>
            <w:tcW w:w="605" w:type="dxa"/>
            <w:shd w:val="clear" w:color="auto" w:fill="DCDCFF"/>
          </w:tcPr>
          <w:p w14:paraId="31F70428"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6C6741BB"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051880C"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17F1B6EF"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870A16A"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3ED3048"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D620CA7"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58C3BFC"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FE5F9CE"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4AD23B6"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13FC8B9" w14:textId="77777777" w:rsidR="00294F58" w:rsidRPr="00171071" w:rsidRDefault="00294F58" w:rsidP="00171071">
            <w:pPr>
              <w:jc w:val="center"/>
              <w:rPr>
                <w:rFonts w:asciiTheme="minorHAnsi" w:hAnsiTheme="minorHAnsi"/>
                <w:sz w:val="20"/>
                <w:szCs w:val="20"/>
              </w:rPr>
            </w:pPr>
          </w:p>
        </w:tc>
      </w:tr>
      <w:tr w:rsidR="00294F58" w:rsidRPr="00171071" w14:paraId="65F61628" w14:textId="77777777" w:rsidTr="00FE4A7A">
        <w:tc>
          <w:tcPr>
            <w:tcW w:w="605" w:type="dxa"/>
            <w:shd w:val="clear" w:color="auto" w:fill="DCDCFF"/>
          </w:tcPr>
          <w:p w14:paraId="18786D8A" w14:textId="41E9F13E" w:rsidR="00294F58" w:rsidRPr="00171071" w:rsidRDefault="00294F58" w:rsidP="000B0E7C">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5F0F0998" w14:textId="28BFC812" w:rsidR="00294F58" w:rsidRPr="00171071" w:rsidRDefault="00294F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EEFEA7A"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503377E"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774A933"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B2A605F"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66B98819"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76A711ED"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0267B20E"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F26676D"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F5A9E1C"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2707D07"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0793BC1" w14:textId="77777777" w:rsidR="00294F58" w:rsidRPr="00171071" w:rsidRDefault="00294F58"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81446B">
        <w:tc>
          <w:tcPr>
            <w:tcW w:w="735" w:type="dxa"/>
            <w:tcBorders>
              <w:bottom w:val="single" w:sz="4" w:space="0" w:color="auto"/>
            </w:tcBorders>
            <w:shd w:val="clear" w:color="auto" w:fill="DCDCFF"/>
          </w:tcPr>
          <w:p w14:paraId="74A72C6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2648FF">
        <w:tc>
          <w:tcPr>
            <w:tcW w:w="735" w:type="dxa"/>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EE2461">
            <w:pPr>
              <w:widowControl w:val="0"/>
              <w:rPr>
                <w:rFonts w:asciiTheme="minorHAnsi" w:hAnsiTheme="minorHAnsi" w:cs="Times New Roman"/>
                <w:bCs/>
                <w:color w:val="auto"/>
                <w:sz w:val="22"/>
                <w:szCs w:val="22"/>
              </w:rPr>
            </w:pPr>
          </w:p>
        </w:tc>
      </w:tr>
      <w:tr w:rsidR="002648FF" w:rsidRPr="00705BB3" w14:paraId="46E14F7A" w14:textId="77777777" w:rsidTr="002648FF">
        <w:tc>
          <w:tcPr>
            <w:tcW w:w="735" w:type="dxa"/>
            <w:shd w:val="clear" w:color="auto" w:fill="DCDCFF"/>
            <w:vAlign w:val="center"/>
          </w:tcPr>
          <w:p w14:paraId="6661C86C" w14:textId="446A119D" w:rsidR="002648FF" w:rsidRPr="00705BB3" w:rsidRDefault="002648FF"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R2</w:t>
            </w:r>
          </w:p>
        </w:tc>
        <w:tc>
          <w:tcPr>
            <w:tcW w:w="1422" w:type="dxa"/>
          </w:tcPr>
          <w:p w14:paraId="5052B964" w14:textId="77777777" w:rsidR="002648FF" w:rsidRPr="00705BB3" w:rsidRDefault="002648FF" w:rsidP="00EE2461">
            <w:pPr>
              <w:widowControl w:val="0"/>
              <w:rPr>
                <w:rFonts w:asciiTheme="minorHAnsi" w:hAnsiTheme="minorHAnsi" w:cs="Times New Roman"/>
                <w:bCs/>
                <w:color w:val="auto"/>
                <w:sz w:val="22"/>
                <w:szCs w:val="22"/>
              </w:rPr>
            </w:pPr>
          </w:p>
        </w:tc>
        <w:tc>
          <w:tcPr>
            <w:tcW w:w="6139" w:type="dxa"/>
          </w:tcPr>
          <w:p w14:paraId="109F0939" w14:textId="77777777" w:rsidR="002648FF" w:rsidRPr="00705BB3" w:rsidRDefault="002648FF" w:rsidP="00EE2461">
            <w:pPr>
              <w:widowControl w:val="0"/>
              <w:rPr>
                <w:rFonts w:asciiTheme="minorHAnsi" w:hAnsiTheme="minorHAnsi" w:cs="Times New Roman"/>
                <w:bCs/>
                <w:color w:val="auto"/>
                <w:sz w:val="22"/>
                <w:szCs w:val="22"/>
              </w:rPr>
            </w:pPr>
          </w:p>
        </w:tc>
        <w:tc>
          <w:tcPr>
            <w:tcW w:w="2494" w:type="dxa"/>
          </w:tcPr>
          <w:p w14:paraId="403185A8" w14:textId="77777777" w:rsidR="002648FF" w:rsidRPr="00705BB3" w:rsidRDefault="002648FF" w:rsidP="00EE2461">
            <w:pPr>
              <w:widowControl w:val="0"/>
              <w:rPr>
                <w:rFonts w:asciiTheme="minorHAnsi" w:hAnsiTheme="minorHAnsi" w:cs="Times New Roman"/>
                <w:bCs/>
                <w:color w:val="auto"/>
                <w:sz w:val="22"/>
                <w:szCs w:val="22"/>
              </w:rPr>
            </w:pPr>
          </w:p>
        </w:tc>
      </w:tr>
      <w:tr w:rsidR="002648FF" w:rsidRPr="00705BB3" w14:paraId="3AFE2F51" w14:textId="77777777" w:rsidTr="0081446B">
        <w:tc>
          <w:tcPr>
            <w:tcW w:w="735" w:type="dxa"/>
            <w:tcBorders>
              <w:bottom w:val="single" w:sz="4" w:space="0" w:color="auto"/>
            </w:tcBorders>
            <w:shd w:val="clear" w:color="auto" w:fill="DCDCFF"/>
            <w:vAlign w:val="center"/>
          </w:tcPr>
          <w:p w14:paraId="2456CCEF" w14:textId="3432900C" w:rsidR="002648FF" w:rsidRPr="00705BB3" w:rsidRDefault="002648FF"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3100BBBA" w14:textId="77777777" w:rsidR="002648FF" w:rsidRPr="00705BB3" w:rsidRDefault="002648FF" w:rsidP="00EE2461">
            <w:pPr>
              <w:widowControl w:val="0"/>
              <w:rPr>
                <w:rFonts w:asciiTheme="minorHAnsi" w:hAnsiTheme="minorHAnsi" w:cs="Times New Roman"/>
                <w:bCs/>
                <w:color w:val="auto"/>
                <w:sz w:val="22"/>
                <w:szCs w:val="22"/>
              </w:rPr>
            </w:pPr>
          </w:p>
        </w:tc>
        <w:tc>
          <w:tcPr>
            <w:tcW w:w="6139" w:type="dxa"/>
          </w:tcPr>
          <w:p w14:paraId="042E8C51" w14:textId="77777777" w:rsidR="002648FF" w:rsidRPr="00705BB3" w:rsidRDefault="002648FF" w:rsidP="00EE2461">
            <w:pPr>
              <w:widowControl w:val="0"/>
              <w:rPr>
                <w:rFonts w:asciiTheme="minorHAnsi" w:hAnsiTheme="minorHAnsi" w:cs="Times New Roman"/>
                <w:bCs/>
                <w:color w:val="auto"/>
                <w:sz w:val="22"/>
                <w:szCs w:val="22"/>
              </w:rPr>
            </w:pPr>
          </w:p>
        </w:tc>
        <w:tc>
          <w:tcPr>
            <w:tcW w:w="2494" w:type="dxa"/>
          </w:tcPr>
          <w:p w14:paraId="08C9A651" w14:textId="77777777" w:rsidR="002648FF" w:rsidRPr="00705BB3" w:rsidRDefault="002648FF" w:rsidP="00EE246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EE246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EE2461">
        <w:tc>
          <w:tcPr>
            <w:tcW w:w="738" w:type="dxa"/>
            <w:shd w:val="clear" w:color="auto" w:fill="DCDCFF"/>
          </w:tcPr>
          <w:p w14:paraId="1705AC1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EE2461">
        <w:tc>
          <w:tcPr>
            <w:tcW w:w="738" w:type="dxa"/>
          </w:tcPr>
          <w:p w14:paraId="5B0DDD23"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3F9C165E" w14:textId="77777777" w:rsidTr="00EE2461">
        <w:tc>
          <w:tcPr>
            <w:tcW w:w="738" w:type="dxa"/>
          </w:tcPr>
          <w:p w14:paraId="380628B4"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62C2AA85" w14:textId="77777777" w:rsidTr="00EE2461">
        <w:tc>
          <w:tcPr>
            <w:tcW w:w="738" w:type="dxa"/>
          </w:tcPr>
          <w:p w14:paraId="6212F2C8"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EE246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EE2461">
        <w:tc>
          <w:tcPr>
            <w:tcW w:w="738" w:type="dxa"/>
            <w:shd w:val="clear" w:color="auto" w:fill="DCDCFF"/>
          </w:tcPr>
          <w:p w14:paraId="6DDF3CDD"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EE2461">
        <w:tc>
          <w:tcPr>
            <w:tcW w:w="738" w:type="dxa"/>
          </w:tcPr>
          <w:p w14:paraId="045FC0FC"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4FB9D4F5" w14:textId="77777777" w:rsidTr="00EE2461">
        <w:tc>
          <w:tcPr>
            <w:tcW w:w="738" w:type="dxa"/>
          </w:tcPr>
          <w:p w14:paraId="119DFDB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710E0EA1" w14:textId="77777777" w:rsidTr="00EE2461">
        <w:tc>
          <w:tcPr>
            <w:tcW w:w="738" w:type="dxa"/>
          </w:tcPr>
          <w:p w14:paraId="272BA52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EE246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4429E9B4" w14:textId="3B637B2D" w:rsidR="002648FF" w:rsidRPr="002648FF" w:rsidRDefault="00BB361A" w:rsidP="002648FF">
      <w:pPr>
        <w:pStyle w:val="Requirement"/>
        <w:numPr>
          <w:ilvl w:val="0"/>
          <w:numId w:val="0"/>
        </w:numPr>
        <w:tabs>
          <w:tab w:val="left" w:pos="2592"/>
          <w:tab w:val="left" w:pos="3240"/>
        </w:tabs>
        <w:rPr>
          <w:rFonts w:asciiTheme="minorHAnsi" w:hAnsiTheme="minorHAnsi"/>
        </w:rPr>
      </w:pPr>
      <w:r w:rsidRPr="002648FF">
        <w:rPr>
          <w:rFonts w:asciiTheme="minorHAnsi" w:hAnsiTheme="minorHAnsi"/>
          <w:b/>
        </w:rPr>
        <w:t>R1</w:t>
      </w:r>
      <w:r w:rsidRPr="002648FF">
        <w:rPr>
          <w:rFonts w:asciiTheme="minorHAnsi" w:hAnsiTheme="minorHAnsi"/>
        </w:rPr>
        <w:t>.</w:t>
      </w:r>
      <w:r w:rsidR="0049415C" w:rsidRPr="002648FF">
        <w:rPr>
          <w:rFonts w:asciiTheme="minorHAnsi" w:hAnsiTheme="minorHAnsi"/>
        </w:rPr>
        <w:t xml:space="preserve"> </w:t>
      </w:r>
      <w:bookmarkStart w:id="2" w:name="OLE_LINK1"/>
      <w:r w:rsidR="002648FF" w:rsidRPr="002648FF">
        <w:rPr>
          <w:rFonts w:asciiTheme="minorHAnsi" w:hAnsiTheme="minorHAnsi"/>
        </w:rPr>
        <w:t xml:space="preserve">Each Balancing Authority shall agree with each of its Adjacent Balancing Authorities that its Composite Confirmed Interchange with that Adjacent Balancing Authority, at mutually agreed upon time intervals, excluding Dynamic Schedules and Pseudo-Ties and including any </w:t>
      </w:r>
      <w:proofErr w:type="gramStart"/>
      <w:r w:rsidR="002648FF" w:rsidRPr="002648FF">
        <w:rPr>
          <w:rFonts w:asciiTheme="minorHAnsi" w:hAnsiTheme="minorHAnsi"/>
        </w:rPr>
        <w:t>Interchange</w:t>
      </w:r>
      <w:proofErr w:type="gramEnd"/>
      <w:r w:rsidR="002648FF" w:rsidRPr="002648FF">
        <w:rPr>
          <w:rFonts w:asciiTheme="minorHAnsi" w:hAnsiTheme="minorHAnsi"/>
        </w:rPr>
        <w:t xml:space="preserve"> not yet captured in the Composite Confirmed Interchange, is:</w:t>
      </w:r>
      <w:r w:rsidR="002648FF" w:rsidRPr="002648FF" w:rsidDel="00742560">
        <w:rPr>
          <w:rFonts w:asciiTheme="minorHAnsi" w:hAnsiTheme="minorHAnsi"/>
          <w:b/>
        </w:rPr>
        <w:t xml:space="preserve"> </w:t>
      </w:r>
      <w:r w:rsidR="002648FF" w:rsidRPr="002648FF">
        <w:rPr>
          <w:rFonts w:asciiTheme="minorHAnsi" w:hAnsiTheme="minorHAnsi"/>
        </w:rPr>
        <w:t xml:space="preserve"> </w:t>
      </w:r>
    </w:p>
    <w:p w14:paraId="16F76C65" w14:textId="77777777" w:rsidR="002648FF" w:rsidRPr="002648FF" w:rsidRDefault="002648FF" w:rsidP="002648FF">
      <w:pPr>
        <w:pStyle w:val="Requirement"/>
        <w:numPr>
          <w:ilvl w:val="1"/>
          <w:numId w:val="1"/>
        </w:numPr>
        <w:tabs>
          <w:tab w:val="clear" w:pos="360"/>
          <w:tab w:val="num" w:pos="1728"/>
          <w:tab w:val="left" w:pos="2592"/>
          <w:tab w:val="left" w:pos="3240"/>
        </w:tabs>
        <w:ind w:left="1728" w:hanging="792"/>
        <w:rPr>
          <w:rFonts w:asciiTheme="minorHAnsi" w:hAnsiTheme="minorHAnsi"/>
        </w:rPr>
      </w:pPr>
      <w:r w:rsidRPr="002648FF">
        <w:rPr>
          <w:rFonts w:asciiTheme="minorHAnsi" w:hAnsiTheme="minorHAnsi"/>
        </w:rPr>
        <w:t xml:space="preserve">Identical in magnitude to that of the Adjacent Balancing Authority, and </w:t>
      </w:r>
    </w:p>
    <w:p w14:paraId="2D06158A" w14:textId="77777777" w:rsidR="002648FF" w:rsidRPr="002648FF" w:rsidRDefault="002648FF" w:rsidP="002648FF">
      <w:pPr>
        <w:pStyle w:val="Requirement"/>
        <w:numPr>
          <w:ilvl w:val="1"/>
          <w:numId w:val="1"/>
        </w:numPr>
        <w:tabs>
          <w:tab w:val="clear" w:pos="360"/>
          <w:tab w:val="num" w:pos="1728"/>
          <w:tab w:val="left" w:pos="2592"/>
          <w:tab w:val="left" w:pos="3240"/>
        </w:tabs>
        <w:ind w:left="1728" w:hanging="792"/>
        <w:rPr>
          <w:rFonts w:asciiTheme="minorHAnsi" w:hAnsiTheme="minorHAnsi"/>
        </w:rPr>
      </w:pPr>
      <w:r w:rsidRPr="002648FF">
        <w:rPr>
          <w:rFonts w:asciiTheme="minorHAnsi" w:hAnsiTheme="minorHAnsi"/>
        </w:rPr>
        <w:t>Opposite in sign or direction to that of the Adjacent Balancing Authority.</w:t>
      </w:r>
    </w:p>
    <w:bookmarkEnd w:id="2"/>
    <w:p w14:paraId="60BE4C7B" w14:textId="208E003F" w:rsidR="002648FF" w:rsidRPr="002648FF" w:rsidRDefault="00895015" w:rsidP="002648FF">
      <w:pPr>
        <w:pStyle w:val="Measure"/>
        <w:numPr>
          <w:ilvl w:val="0"/>
          <w:numId w:val="0"/>
        </w:numPr>
        <w:tabs>
          <w:tab w:val="clear" w:pos="936"/>
          <w:tab w:val="left" w:pos="2592"/>
          <w:tab w:val="left" w:pos="3240"/>
        </w:tabs>
        <w:rPr>
          <w:rFonts w:asciiTheme="minorHAnsi" w:hAnsiTheme="minorHAnsi"/>
        </w:rPr>
      </w:pPr>
      <w:r w:rsidRPr="002648FF">
        <w:rPr>
          <w:rFonts w:asciiTheme="minorHAnsi" w:hAnsiTheme="minorHAnsi"/>
          <w:b/>
          <w:bCs/>
        </w:rPr>
        <w:t>M1.</w:t>
      </w:r>
      <w:r w:rsidR="0049415C" w:rsidRPr="002648FF">
        <w:rPr>
          <w:rFonts w:asciiTheme="minorHAnsi" w:hAnsiTheme="minorHAnsi"/>
        </w:rPr>
        <w:t xml:space="preserve"> </w:t>
      </w:r>
      <w:r w:rsidR="002648FF" w:rsidRPr="002648FF">
        <w:rPr>
          <w:rFonts w:asciiTheme="minorHAnsi" w:hAnsiTheme="minorHAnsi"/>
        </w:rPr>
        <w:t>The Balancing Authority shall have evidence (such as dated logs, voice recordings, electronic records, or other evidence) that its Composite Confirmed Interchange, excluding Dynamic Schedules and Pseudo-Ties and including any Interchange not yet captured in the Composite Confirmed Interchange, was agreed to by each Adjacent Balancing Authority, identical in magnitude to those of each Adjacent Balancing Authority, and opposite in sign to that of each Adjacent Bal</w:t>
      </w:r>
      <w:r w:rsidR="0046214B">
        <w:rPr>
          <w:rFonts w:asciiTheme="minorHAnsi" w:hAnsiTheme="minorHAnsi"/>
        </w:rPr>
        <w:t xml:space="preserve">ancing Authority. </w:t>
      </w:r>
      <w:r w:rsidR="002648FF" w:rsidRPr="002648FF">
        <w:rPr>
          <w:rFonts w:asciiTheme="minorHAnsi" w:hAnsiTheme="minorHAnsi"/>
        </w:rPr>
        <w:t>(R1)</w:t>
      </w:r>
    </w:p>
    <w:p w14:paraId="33738AAE" w14:textId="07584791" w:rsidR="00895015" w:rsidRPr="006C43BC" w:rsidRDefault="00895015" w:rsidP="002648FF">
      <w:pPr>
        <w:pStyle w:val="Measure"/>
        <w:numPr>
          <w:ilvl w:val="0"/>
          <w:numId w:val="0"/>
        </w:numPr>
        <w:tabs>
          <w:tab w:val="clear" w:pos="936"/>
          <w:tab w:val="left" w:pos="0"/>
          <w:tab w:val="left" w:pos="2592"/>
          <w:tab w:val="left" w:pos="3240"/>
        </w:tabs>
        <w:rPr>
          <w:rFonts w:asciiTheme="minorHAnsi" w:hAnsiTheme="minorHAnsi"/>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243086CD"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w:t>
      </w:r>
      <w:r w:rsidR="0046214B">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6511E00D" w:rsidR="00C1568A" w:rsidRPr="006C43BC" w:rsidRDefault="00C1568A" w:rsidP="00D97E2A">
      <w:pPr>
        <w:pStyle w:val="RqtSection"/>
        <w:rPr>
          <w:rFonts w:cstheme="minorHAnsi"/>
          <w:i/>
          <w:iCs/>
        </w:rPr>
      </w:pPr>
      <w:r>
        <w:t>Evidence Requested</w:t>
      </w:r>
      <w:r w:rsidR="007861E9">
        <w:t>:</w:t>
      </w:r>
      <w:r w:rsidR="00AD32EC">
        <w:rPr>
          <w:rStyle w:val="EndnoteReference"/>
        </w:rPr>
        <w:endnoteReference w:id="1"/>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023D31">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023D31">
        <w:tc>
          <w:tcPr>
            <w:tcW w:w="10790" w:type="dxa"/>
            <w:shd w:val="clear" w:color="auto" w:fill="DCDCFF"/>
          </w:tcPr>
          <w:p w14:paraId="594F0F1E" w14:textId="72BB90D1" w:rsidR="00BF371A" w:rsidRDefault="000A6C3D" w:rsidP="000A6C3D">
            <w:pPr>
              <w:widowControl w:val="0"/>
              <w:jc w:val="both"/>
              <w:rPr>
                <w:rFonts w:asciiTheme="minorHAnsi" w:hAnsiTheme="minorHAnsi" w:cs="Times New Roman"/>
                <w:color w:val="auto"/>
              </w:rPr>
            </w:pPr>
            <w:r>
              <w:rPr>
                <w:rFonts w:asciiTheme="minorHAnsi" w:hAnsiTheme="minorHAnsi" w:cs="Times New Roman"/>
                <w:color w:val="auto"/>
              </w:rPr>
              <w:t>Dated logs, voice recordings, electronic records, or other evidence that entity’s Composite Confirmed Interchange, as adjusted as described in R1, was agreed to by each Adjacent Balancing Authority, identical in magnitude and opposite in sign.</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EE246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3A30E3AC"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C3A78">
        <w:t>INT-009-</w:t>
      </w:r>
      <w:r w:rsidR="00C07BC8">
        <w:t>3</w:t>
      </w:r>
      <w:r w:rsidRPr="00F548BE">
        <w:t xml:space="preserve">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4B162A">
        <w:tc>
          <w:tcPr>
            <w:tcW w:w="374" w:type="dxa"/>
          </w:tcPr>
          <w:p w14:paraId="10CC5FD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B8495E4" w14:textId="60744BBF" w:rsidR="00C1568A" w:rsidRPr="00023D31" w:rsidRDefault="00023D31" w:rsidP="003660D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Select a sample of </w:t>
            </w:r>
            <w:r w:rsidR="00A743D0">
              <w:rPr>
                <w:rFonts w:asciiTheme="minorHAnsi" w:hAnsiTheme="minorHAnsi" w:cs="Times New Roman"/>
                <w:color w:val="auto"/>
              </w:rPr>
              <w:t>Composite Confirmed Interchanges with Adjacent Balancing Authorities and examine evidence to verify entity and Adjacent Balancing Authority agree the interchange is as follows:</w:t>
            </w:r>
          </w:p>
        </w:tc>
      </w:tr>
      <w:tr w:rsidR="00C1568A" w:rsidRPr="00705BB3" w14:paraId="6BE36A13" w14:textId="77777777" w:rsidTr="004B162A">
        <w:tc>
          <w:tcPr>
            <w:tcW w:w="374" w:type="dxa"/>
          </w:tcPr>
          <w:p w14:paraId="0AF3251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CE1C230" w14:textId="6C011446" w:rsidR="00C1568A" w:rsidRPr="004B162A" w:rsidRDefault="00113A57" w:rsidP="0046214B">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A743D0">
              <w:rPr>
                <w:rFonts w:asciiTheme="minorHAnsi" w:hAnsiTheme="minorHAnsi" w:cs="Times New Roman"/>
                <w:color w:val="auto"/>
              </w:rPr>
              <w:t xml:space="preserve">Identical in magnitude to that of the </w:t>
            </w:r>
            <w:r w:rsidR="0046214B">
              <w:rPr>
                <w:rFonts w:asciiTheme="minorHAnsi" w:hAnsiTheme="minorHAnsi" w:cs="Times New Roman"/>
                <w:color w:val="auto"/>
              </w:rPr>
              <w:t>A</w:t>
            </w:r>
            <w:r w:rsidR="00A743D0">
              <w:rPr>
                <w:rFonts w:asciiTheme="minorHAnsi" w:hAnsiTheme="minorHAnsi" w:cs="Times New Roman"/>
                <w:color w:val="auto"/>
              </w:rPr>
              <w:t>djacent Balancing Authority.</w:t>
            </w:r>
          </w:p>
        </w:tc>
      </w:tr>
      <w:tr w:rsidR="00C1568A" w:rsidRPr="00705BB3" w14:paraId="32107441" w14:textId="77777777" w:rsidTr="002648FF">
        <w:tc>
          <w:tcPr>
            <w:tcW w:w="374" w:type="dxa"/>
            <w:tcBorders>
              <w:bottom w:val="single" w:sz="4" w:space="0" w:color="auto"/>
            </w:tcBorders>
          </w:tcPr>
          <w:p w14:paraId="0E69556A"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FE7662" w14:textId="22D4D178" w:rsidR="00C1568A" w:rsidRPr="00113A57" w:rsidRDefault="00113A57" w:rsidP="004621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A743D0">
              <w:rPr>
                <w:rFonts w:asciiTheme="minorHAnsi" w:hAnsiTheme="minorHAnsi" w:cs="Times New Roman"/>
                <w:color w:val="auto"/>
              </w:rPr>
              <w:t xml:space="preserve">Opposite in sign or direction to that of the </w:t>
            </w:r>
            <w:r w:rsidR="0046214B">
              <w:rPr>
                <w:rFonts w:asciiTheme="minorHAnsi" w:hAnsiTheme="minorHAnsi" w:cs="Times New Roman"/>
                <w:color w:val="auto"/>
              </w:rPr>
              <w:t>A</w:t>
            </w:r>
            <w:r w:rsidR="00A743D0">
              <w:rPr>
                <w:rFonts w:asciiTheme="minorHAnsi" w:hAnsiTheme="minorHAnsi" w:cs="Times New Roman"/>
                <w:color w:val="auto"/>
              </w:rPr>
              <w:t>djacent Balancing Authority.</w:t>
            </w:r>
          </w:p>
        </w:tc>
      </w:tr>
      <w:tr w:rsidR="00C1568A" w:rsidRPr="006C43BC" w14:paraId="431903D7" w14:textId="77777777" w:rsidTr="002648FF">
        <w:tc>
          <w:tcPr>
            <w:tcW w:w="10790" w:type="dxa"/>
            <w:gridSpan w:val="2"/>
            <w:tcBorders>
              <w:bottom w:val="single" w:sz="4" w:space="0" w:color="auto"/>
            </w:tcBorders>
            <w:shd w:val="clear" w:color="auto" w:fill="DCDCFF"/>
          </w:tcPr>
          <w:p w14:paraId="70568AD5" w14:textId="13E32A91" w:rsidR="00C1568A" w:rsidRPr="006C43BC" w:rsidRDefault="00C1568A" w:rsidP="008A0D7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99EE55C" w14:textId="12E9C000" w:rsidR="002648FF" w:rsidRPr="008F56D6" w:rsidRDefault="002648FF" w:rsidP="002648FF">
      <w:pPr>
        <w:pStyle w:val="SectHead"/>
      </w:pPr>
      <w:r>
        <w:lastRenderedPageBreak/>
        <w:t>R2</w:t>
      </w:r>
      <w:r w:rsidRPr="006C43BC">
        <w:t xml:space="preserve"> Supporting Evidence and Documentation</w:t>
      </w:r>
    </w:p>
    <w:p w14:paraId="1B905430" w14:textId="23540FA6" w:rsidR="002648FF" w:rsidRPr="002648FF" w:rsidRDefault="002648FF" w:rsidP="00C07BC8">
      <w:pPr>
        <w:pStyle w:val="Requirement"/>
        <w:numPr>
          <w:ilvl w:val="0"/>
          <w:numId w:val="0"/>
        </w:numPr>
        <w:tabs>
          <w:tab w:val="left" w:pos="2592"/>
          <w:tab w:val="left" w:pos="3240"/>
        </w:tabs>
        <w:rPr>
          <w:rFonts w:asciiTheme="minorHAnsi" w:hAnsiTheme="minorHAnsi"/>
        </w:rPr>
      </w:pPr>
      <w:r w:rsidRPr="002648FF">
        <w:rPr>
          <w:rFonts w:asciiTheme="minorHAnsi" w:hAnsiTheme="minorHAnsi"/>
          <w:b/>
        </w:rPr>
        <w:t>R2.</w:t>
      </w:r>
      <w:r w:rsidRPr="002648FF">
        <w:rPr>
          <w:rFonts w:asciiTheme="minorHAnsi" w:hAnsiTheme="minorHAnsi"/>
        </w:rPr>
        <w:t xml:space="preserve"> </w:t>
      </w:r>
      <w:r w:rsidR="00C07BC8">
        <w:rPr>
          <w:rFonts w:asciiTheme="minorHAnsi" w:hAnsiTheme="minorHAnsi"/>
        </w:rPr>
        <w:t>Reserved.</w:t>
      </w:r>
    </w:p>
    <w:p w14:paraId="341D0CD7" w14:textId="77777777" w:rsidR="00D122CF" w:rsidRDefault="00D122CF" w:rsidP="00D122CF">
      <w:pPr>
        <w:rPr>
          <w:rFonts w:asciiTheme="minorHAnsi" w:hAnsiTheme="minorHAnsi" w:cs="Times New Roman"/>
          <w:b/>
        </w:rPr>
      </w:pPr>
    </w:p>
    <w:p w14:paraId="277CC6A3" w14:textId="6DCA42AC" w:rsidR="002648FF" w:rsidRPr="008F56D6" w:rsidRDefault="002648FF" w:rsidP="002648FF">
      <w:pPr>
        <w:pStyle w:val="SectHead"/>
      </w:pPr>
      <w:r>
        <w:t>R3</w:t>
      </w:r>
      <w:r w:rsidRPr="006C43BC">
        <w:t xml:space="preserve"> Supporting Evidence and Documentation</w:t>
      </w:r>
    </w:p>
    <w:p w14:paraId="0313AA1A" w14:textId="7FB3925C" w:rsidR="002648FF" w:rsidRPr="0046214B" w:rsidRDefault="002648FF" w:rsidP="002648FF">
      <w:pPr>
        <w:pStyle w:val="Requirement"/>
        <w:numPr>
          <w:ilvl w:val="0"/>
          <w:numId w:val="0"/>
        </w:numPr>
        <w:tabs>
          <w:tab w:val="num" w:pos="936"/>
          <w:tab w:val="left" w:pos="2592"/>
          <w:tab w:val="left" w:pos="3240"/>
        </w:tabs>
        <w:rPr>
          <w:rFonts w:asciiTheme="minorHAnsi" w:hAnsiTheme="minorHAnsi"/>
        </w:rPr>
      </w:pPr>
      <w:r w:rsidRPr="0046214B">
        <w:rPr>
          <w:rFonts w:asciiTheme="minorHAnsi" w:hAnsiTheme="minorHAnsi"/>
          <w:b/>
        </w:rPr>
        <w:t>R3.</w:t>
      </w:r>
      <w:r w:rsidRPr="0046214B">
        <w:rPr>
          <w:rFonts w:asciiTheme="minorHAnsi" w:hAnsiTheme="minorHAnsi"/>
        </w:rPr>
        <w:t xml:space="preserve"> Each Balancing Authority in whose area the high-voltage direct current tie is controlled shall coordinate the Confirmed Interchange prior to its implementation with the Transmission Operator of the high-voltage direct current tie. </w:t>
      </w:r>
    </w:p>
    <w:p w14:paraId="2471589A" w14:textId="146B9EB0" w:rsidR="002648FF" w:rsidRPr="0046214B" w:rsidRDefault="002648FF" w:rsidP="002648FF">
      <w:pPr>
        <w:pStyle w:val="Measure"/>
        <w:numPr>
          <w:ilvl w:val="0"/>
          <w:numId w:val="0"/>
        </w:numPr>
        <w:tabs>
          <w:tab w:val="clear" w:pos="936"/>
          <w:tab w:val="left" w:pos="2592"/>
          <w:tab w:val="left" w:pos="3240"/>
        </w:tabs>
        <w:rPr>
          <w:rFonts w:asciiTheme="minorHAnsi" w:hAnsiTheme="minorHAnsi"/>
        </w:rPr>
      </w:pPr>
      <w:r w:rsidRPr="0046214B">
        <w:rPr>
          <w:rFonts w:asciiTheme="minorHAnsi" w:hAnsiTheme="minorHAnsi"/>
          <w:b/>
        </w:rPr>
        <w:t>M3.</w:t>
      </w:r>
      <w:r w:rsidRPr="0046214B">
        <w:rPr>
          <w:rFonts w:asciiTheme="minorHAnsi" w:hAnsiTheme="minorHAnsi"/>
        </w:rPr>
        <w:t xml:space="preserve"> The Balancing Authority shall have evidence (such as dated logs, electronic records, or other evidence) that it coordinated the Confirmed Interchange prior to its implementation with the Transmission Operator of the high-voltage direct current tie. (R3)</w:t>
      </w:r>
    </w:p>
    <w:p w14:paraId="4D9C973B" w14:textId="77777777" w:rsidR="002648FF" w:rsidRPr="006C43BC" w:rsidRDefault="002648FF" w:rsidP="002648FF">
      <w:pPr>
        <w:pStyle w:val="Measure"/>
        <w:numPr>
          <w:ilvl w:val="0"/>
          <w:numId w:val="0"/>
        </w:numPr>
        <w:tabs>
          <w:tab w:val="clear" w:pos="936"/>
          <w:tab w:val="left" w:pos="0"/>
          <w:tab w:val="left" w:pos="2592"/>
          <w:tab w:val="left" w:pos="3240"/>
        </w:tabs>
        <w:rPr>
          <w:rFonts w:asciiTheme="minorHAnsi" w:hAnsiTheme="minorHAnsi"/>
          <w:b/>
        </w:rPr>
      </w:pPr>
    </w:p>
    <w:p w14:paraId="0B62951E" w14:textId="380C2DE4" w:rsidR="002648FF" w:rsidRPr="006C43BC" w:rsidRDefault="002648FF" w:rsidP="002648F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FFF5BD7" w14:textId="77777777" w:rsidR="002648FF" w:rsidRPr="00A5228E" w:rsidRDefault="002648FF" w:rsidP="002648F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2732CEE" w14:textId="6FB3979F" w:rsidR="002648FF" w:rsidRPr="006C43BC" w:rsidRDefault="002648FF" w:rsidP="002648F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w:t>
      </w:r>
      <w:r w:rsidR="0046214B">
        <w:rPr>
          <w:rFonts w:asciiTheme="minorHAnsi" w:eastAsia="Calibri" w:hAnsiTheme="minorHAnsi" w:cs="Times New Roman"/>
          <w:sz w:val="22"/>
          <w:szCs w:val="22"/>
        </w:rPr>
        <w:t xml:space="preserve"> </w:t>
      </w:r>
      <w:r>
        <w:rPr>
          <w:rFonts w:asciiTheme="minorHAnsi" w:eastAsia="Calibri" w:hAnsiTheme="minorHAnsi" w:cs="Times New Roman"/>
          <w:sz w:val="22"/>
          <w:szCs w:val="22"/>
        </w:rPr>
        <w:t xml:space="preserve"> References to supplied evidence, including links to the appropriate page, are recommended.</w:t>
      </w:r>
    </w:p>
    <w:p w14:paraId="778FA0E4"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5C1C4363"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435210D8" w14:textId="77777777" w:rsidR="002648FF" w:rsidRPr="006C43BC" w:rsidRDefault="002648FF" w:rsidP="002648FF">
      <w:pPr>
        <w:widowControl w:val="0"/>
        <w:spacing w:line="266" w:lineRule="exact"/>
        <w:rPr>
          <w:rFonts w:asciiTheme="minorHAnsi" w:hAnsiTheme="minorHAnsi" w:cs="Times New Roman"/>
          <w:b/>
          <w:bCs/>
        </w:rPr>
      </w:pPr>
    </w:p>
    <w:p w14:paraId="46F8CB05" w14:textId="412C7DD7" w:rsidR="002648FF" w:rsidRPr="006C43BC" w:rsidRDefault="002648FF" w:rsidP="002648FF">
      <w:pPr>
        <w:pStyle w:val="RqtSection"/>
        <w:rPr>
          <w:rFonts w:cstheme="minorHAnsi"/>
          <w:i/>
          <w:iCs/>
        </w:rPr>
      </w:pPr>
      <w:r>
        <w:t xml:space="preserve">Evidence </w:t>
      </w:r>
      <w:proofErr w:type="spellStart"/>
      <w:r>
        <w:t>Requested</w:t>
      </w:r>
      <w:proofErr w:type="gramStart"/>
      <w:r w:rsidR="009E66AB">
        <w:t>:</w:t>
      </w:r>
      <w:r w:rsidRPr="002648FF">
        <w:rPr>
          <w:vertAlign w:val="superscript"/>
        </w:rPr>
        <w:t>i</w:t>
      </w:r>
      <w:proofErr w:type="spellEnd"/>
      <w:proofErr w:type="gramEnd"/>
    </w:p>
    <w:tbl>
      <w:tblPr>
        <w:tblStyle w:val="TableGrid"/>
        <w:tblW w:w="0" w:type="auto"/>
        <w:shd w:val="clear" w:color="auto" w:fill="DCDCFF"/>
        <w:tblLook w:val="04A0" w:firstRow="1" w:lastRow="0" w:firstColumn="1" w:lastColumn="0" w:noHBand="0" w:noVBand="1"/>
      </w:tblPr>
      <w:tblGrid>
        <w:gridCol w:w="10790"/>
      </w:tblGrid>
      <w:tr w:rsidR="002648FF" w:rsidRPr="006C43BC" w14:paraId="39D448CC" w14:textId="77777777" w:rsidTr="0039188B">
        <w:tc>
          <w:tcPr>
            <w:tcW w:w="10790" w:type="dxa"/>
            <w:shd w:val="clear" w:color="auto" w:fill="DCDCFF"/>
          </w:tcPr>
          <w:p w14:paraId="12CF67F8" w14:textId="77777777" w:rsidR="002648FF" w:rsidRPr="00705BB3" w:rsidRDefault="002648FF" w:rsidP="0039188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648FF" w:rsidRPr="00676D1E" w14:paraId="40D68F2E" w14:textId="77777777" w:rsidTr="0039188B">
        <w:tc>
          <w:tcPr>
            <w:tcW w:w="10790" w:type="dxa"/>
            <w:shd w:val="clear" w:color="auto" w:fill="DCDCFF"/>
          </w:tcPr>
          <w:p w14:paraId="1FF97A53" w14:textId="3FE3FF23" w:rsidR="002648FF" w:rsidRDefault="00CC0504" w:rsidP="0039188B">
            <w:pPr>
              <w:widowControl w:val="0"/>
              <w:jc w:val="both"/>
              <w:rPr>
                <w:rFonts w:asciiTheme="minorHAnsi" w:hAnsiTheme="minorHAnsi" w:cs="Times New Roman"/>
                <w:color w:val="auto"/>
              </w:rPr>
            </w:pPr>
            <w:r>
              <w:rPr>
                <w:rFonts w:asciiTheme="minorHAnsi" w:hAnsiTheme="minorHAnsi" w:cs="Times New Roman"/>
                <w:color w:val="auto"/>
              </w:rPr>
              <w:t xml:space="preserve">Dated logs, electronic </w:t>
            </w:r>
            <w:r w:rsidR="00631F95">
              <w:rPr>
                <w:rFonts w:asciiTheme="minorHAnsi" w:hAnsiTheme="minorHAnsi" w:cs="Times New Roman"/>
                <w:color w:val="auto"/>
              </w:rPr>
              <w:t>records</w:t>
            </w:r>
            <w:r>
              <w:rPr>
                <w:rFonts w:asciiTheme="minorHAnsi" w:hAnsiTheme="minorHAnsi" w:cs="Times New Roman"/>
                <w:color w:val="auto"/>
              </w:rPr>
              <w:t>, or other evidence that entity coordinated the Confirmed Interchange prior to its implementation with the Transmission Operator of the high-voltage direct current tie.</w:t>
            </w:r>
          </w:p>
        </w:tc>
      </w:tr>
    </w:tbl>
    <w:p w14:paraId="023FA710" w14:textId="77777777" w:rsidR="002648FF" w:rsidRDefault="002648FF" w:rsidP="002648FF">
      <w:pPr>
        <w:widowControl w:val="0"/>
        <w:spacing w:line="266" w:lineRule="exact"/>
        <w:rPr>
          <w:rFonts w:asciiTheme="minorHAnsi" w:hAnsiTheme="minorHAnsi" w:cs="Times New Roman"/>
          <w:b/>
          <w:bCs/>
          <w:color w:val="auto"/>
        </w:rPr>
      </w:pPr>
    </w:p>
    <w:p w14:paraId="5EF8D200" w14:textId="77777777" w:rsidR="002648FF" w:rsidRPr="006C43BC" w:rsidRDefault="002648FF" w:rsidP="002648F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648FF" w:rsidRPr="00812336" w14:paraId="499D15F8" w14:textId="77777777" w:rsidTr="0039188B">
        <w:tc>
          <w:tcPr>
            <w:tcW w:w="10995" w:type="dxa"/>
            <w:gridSpan w:val="6"/>
            <w:shd w:val="clear" w:color="auto" w:fill="DCDCFF"/>
            <w:vAlign w:val="bottom"/>
          </w:tcPr>
          <w:p w14:paraId="0A9D24E5" w14:textId="77777777" w:rsidR="002648FF" w:rsidRPr="00812336" w:rsidRDefault="002648FF" w:rsidP="0039188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648FF" w:rsidRPr="00812336" w14:paraId="08C166F2" w14:textId="77777777" w:rsidTr="0039188B">
        <w:tc>
          <w:tcPr>
            <w:tcW w:w="2340" w:type="dxa"/>
            <w:shd w:val="clear" w:color="auto" w:fill="DCDCFF"/>
            <w:vAlign w:val="bottom"/>
          </w:tcPr>
          <w:p w14:paraId="2A60AE73"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114612"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BA07A3"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2C3F604"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2C1F6AE"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6215B89"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648FF" w:rsidRPr="00705BB3" w14:paraId="3AA86B1F" w14:textId="77777777" w:rsidTr="0039188B">
        <w:tc>
          <w:tcPr>
            <w:tcW w:w="2340" w:type="dxa"/>
            <w:shd w:val="clear" w:color="auto" w:fill="CDFFCD"/>
          </w:tcPr>
          <w:p w14:paraId="7E971306"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C1C777"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0DE47E"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037B75"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A40E7F"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CCF38D"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56C372BB" w14:textId="77777777" w:rsidTr="0039188B">
        <w:tc>
          <w:tcPr>
            <w:tcW w:w="2340" w:type="dxa"/>
            <w:shd w:val="clear" w:color="auto" w:fill="CDFFCD"/>
          </w:tcPr>
          <w:p w14:paraId="6A226AB0"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563C764"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E51EE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E0042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0CEDEB"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F10135B"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15FFD834" w14:textId="77777777" w:rsidTr="0039188B">
        <w:tc>
          <w:tcPr>
            <w:tcW w:w="2340" w:type="dxa"/>
            <w:shd w:val="clear" w:color="auto" w:fill="CDFFCD"/>
          </w:tcPr>
          <w:p w14:paraId="231566B2"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1190AF"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E85121"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7D4AB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A8EFC6"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038B33"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bl>
    <w:p w14:paraId="131610F8" w14:textId="77777777" w:rsidR="002648FF" w:rsidRPr="006C43BC" w:rsidRDefault="002648FF" w:rsidP="002648FF">
      <w:pPr>
        <w:widowControl w:val="0"/>
        <w:rPr>
          <w:rFonts w:asciiTheme="minorHAnsi" w:hAnsiTheme="minorHAnsi" w:cs="Times New Roman"/>
        </w:rPr>
      </w:pPr>
    </w:p>
    <w:p w14:paraId="5095B7E9" w14:textId="77777777" w:rsidR="002648FF" w:rsidRPr="006C43BC" w:rsidRDefault="002648FF" w:rsidP="002648F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648FF" w:rsidRPr="00705BB3" w14:paraId="6861B36A" w14:textId="77777777" w:rsidTr="0039188B">
        <w:tc>
          <w:tcPr>
            <w:tcW w:w="11016" w:type="dxa"/>
            <w:shd w:val="clear" w:color="auto" w:fill="auto"/>
          </w:tcPr>
          <w:p w14:paraId="1ABD39DE" w14:textId="77777777" w:rsidR="002648FF" w:rsidRPr="00705BB3" w:rsidRDefault="002648FF" w:rsidP="0039188B">
            <w:pPr>
              <w:widowControl w:val="0"/>
              <w:rPr>
                <w:rFonts w:asciiTheme="minorHAnsi" w:hAnsiTheme="minorHAnsi" w:cs="Times New Roman"/>
                <w:sz w:val="22"/>
                <w:szCs w:val="22"/>
              </w:rPr>
            </w:pPr>
          </w:p>
        </w:tc>
      </w:tr>
      <w:tr w:rsidR="002648FF" w:rsidRPr="00705BB3" w14:paraId="6150D9D0" w14:textId="77777777" w:rsidTr="0039188B">
        <w:tc>
          <w:tcPr>
            <w:tcW w:w="11016" w:type="dxa"/>
            <w:shd w:val="clear" w:color="auto" w:fill="auto"/>
          </w:tcPr>
          <w:p w14:paraId="072CEB70" w14:textId="77777777" w:rsidR="002648FF" w:rsidRPr="00705BB3" w:rsidRDefault="002648FF" w:rsidP="0039188B">
            <w:pPr>
              <w:widowControl w:val="0"/>
              <w:rPr>
                <w:rFonts w:asciiTheme="minorHAnsi" w:hAnsiTheme="minorHAnsi" w:cs="Times New Roman"/>
                <w:sz w:val="22"/>
                <w:szCs w:val="22"/>
              </w:rPr>
            </w:pPr>
          </w:p>
        </w:tc>
      </w:tr>
      <w:tr w:rsidR="002648FF" w:rsidRPr="00705BB3" w14:paraId="058130D3" w14:textId="77777777" w:rsidTr="0039188B">
        <w:tc>
          <w:tcPr>
            <w:tcW w:w="11016" w:type="dxa"/>
            <w:shd w:val="clear" w:color="auto" w:fill="auto"/>
          </w:tcPr>
          <w:p w14:paraId="75C0EE41" w14:textId="77777777" w:rsidR="002648FF" w:rsidRPr="00705BB3" w:rsidRDefault="002648FF" w:rsidP="0039188B">
            <w:pPr>
              <w:widowControl w:val="0"/>
              <w:rPr>
                <w:rFonts w:asciiTheme="minorHAnsi" w:hAnsiTheme="minorHAnsi" w:cs="Times New Roman"/>
                <w:sz w:val="22"/>
                <w:szCs w:val="22"/>
              </w:rPr>
            </w:pPr>
          </w:p>
        </w:tc>
      </w:tr>
    </w:tbl>
    <w:p w14:paraId="483AAFD8" w14:textId="77777777" w:rsidR="002648FF" w:rsidRPr="006C43BC" w:rsidRDefault="002648FF" w:rsidP="002648FF">
      <w:pPr>
        <w:widowControl w:val="0"/>
        <w:rPr>
          <w:rFonts w:asciiTheme="minorHAnsi" w:hAnsiTheme="minorHAnsi" w:cs="Times New Roman"/>
        </w:rPr>
      </w:pPr>
    </w:p>
    <w:p w14:paraId="0E78DD38" w14:textId="062A0CAD" w:rsidR="002648FF" w:rsidRPr="00722443" w:rsidRDefault="002648FF" w:rsidP="002648F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C3A78">
        <w:t>INT-009-</w:t>
      </w:r>
      <w:r w:rsidR="00C07BC8">
        <w:t>3</w:t>
      </w:r>
      <w:r>
        <w:t xml:space="preserve"> R3</w:t>
      </w:r>
    </w:p>
    <w:p w14:paraId="4DCB6876" w14:textId="77777777" w:rsidR="002648FF" w:rsidRPr="006C43BC" w:rsidRDefault="002648FF" w:rsidP="002648F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48FF" w:rsidRPr="00705BB3" w14:paraId="34482463" w14:textId="77777777" w:rsidTr="0039188B">
        <w:tc>
          <w:tcPr>
            <w:tcW w:w="374" w:type="dxa"/>
          </w:tcPr>
          <w:p w14:paraId="0F735CC6" w14:textId="77777777" w:rsidR="002648FF" w:rsidRPr="00705BB3" w:rsidRDefault="002648FF" w:rsidP="0039188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7BACC9A" w14:textId="4BF49C90" w:rsidR="002648FF" w:rsidRPr="00023D31" w:rsidRDefault="00CC0504" w:rsidP="0039188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w:t>
            </w:r>
            <w:r w:rsidR="00631F95">
              <w:rPr>
                <w:rFonts w:asciiTheme="minorHAnsi" w:hAnsiTheme="minorHAnsi" w:cs="Times New Roman"/>
                <w:color w:val="auto"/>
              </w:rPr>
              <w:t xml:space="preserve"> </w:t>
            </w:r>
            <w:r>
              <w:rPr>
                <w:rFonts w:asciiTheme="minorHAnsi" w:hAnsiTheme="minorHAnsi" w:cs="Times New Roman"/>
                <w:color w:val="auto"/>
              </w:rPr>
              <w:t>For all</w:t>
            </w:r>
            <w:r w:rsidR="003853BB">
              <w:rPr>
                <w:rFonts w:asciiTheme="minorHAnsi" w:hAnsiTheme="minorHAnsi" w:cs="Times New Roman"/>
                <w:color w:val="auto"/>
              </w:rPr>
              <w:t>,</w:t>
            </w:r>
            <w:r>
              <w:rPr>
                <w:rFonts w:asciiTheme="minorHAnsi" w:hAnsiTheme="minorHAnsi" w:cs="Times New Roman"/>
                <w:color w:val="auto"/>
              </w:rPr>
              <w:t xml:space="preserve"> or a sample of</w:t>
            </w:r>
            <w:r w:rsidR="003853BB">
              <w:rPr>
                <w:rFonts w:asciiTheme="minorHAnsi" w:hAnsiTheme="minorHAnsi" w:cs="Times New Roman"/>
                <w:color w:val="auto"/>
              </w:rPr>
              <w:t>, Confirmed Interchange implemented across a</w:t>
            </w:r>
            <w:r>
              <w:rPr>
                <w:rFonts w:asciiTheme="minorHAnsi" w:hAnsiTheme="minorHAnsi" w:cs="Times New Roman"/>
                <w:color w:val="auto"/>
              </w:rPr>
              <w:t xml:space="preserve"> high-voltage direct current tie  </w:t>
            </w:r>
            <w:r>
              <w:rPr>
                <w:rFonts w:asciiTheme="minorHAnsi" w:hAnsiTheme="minorHAnsi" w:cs="Times New Roman"/>
                <w:color w:val="auto"/>
              </w:rPr>
              <w:lastRenderedPageBreak/>
              <w:t xml:space="preserve">during the </w:t>
            </w:r>
            <w:r w:rsidR="003853BB">
              <w:rPr>
                <w:rFonts w:asciiTheme="minorHAnsi" w:hAnsiTheme="minorHAnsi" w:cs="Times New Roman"/>
                <w:color w:val="auto"/>
              </w:rPr>
              <w:t>compliance monitoring</w:t>
            </w:r>
            <w:r>
              <w:rPr>
                <w:rFonts w:asciiTheme="minorHAnsi" w:hAnsiTheme="minorHAnsi" w:cs="Times New Roman"/>
                <w:color w:val="auto"/>
              </w:rPr>
              <w:t xml:space="preserve"> period, verify entity coordinated</w:t>
            </w:r>
            <w:r w:rsidR="00DA0607">
              <w:rPr>
                <w:rFonts w:asciiTheme="minorHAnsi" w:hAnsiTheme="minorHAnsi" w:cs="Times New Roman"/>
                <w:color w:val="auto"/>
              </w:rPr>
              <w:t xml:space="preserve"> the Confirmed Interchange</w:t>
            </w:r>
            <w:r>
              <w:rPr>
                <w:rFonts w:asciiTheme="minorHAnsi" w:hAnsiTheme="minorHAnsi" w:cs="Times New Roman"/>
                <w:color w:val="auto"/>
              </w:rPr>
              <w:t xml:space="preserve"> with</w:t>
            </w:r>
            <w:r w:rsidR="003853BB">
              <w:rPr>
                <w:rFonts w:asciiTheme="minorHAnsi" w:hAnsiTheme="minorHAnsi" w:cs="Times New Roman"/>
                <w:color w:val="auto"/>
              </w:rPr>
              <w:t xml:space="preserve"> the</w:t>
            </w:r>
            <w:r>
              <w:rPr>
                <w:rFonts w:asciiTheme="minorHAnsi" w:hAnsiTheme="minorHAnsi" w:cs="Times New Roman"/>
                <w:color w:val="auto"/>
              </w:rPr>
              <w:t xml:space="preserve"> Transmission O</w:t>
            </w:r>
            <w:r w:rsidR="003853BB">
              <w:rPr>
                <w:rFonts w:asciiTheme="minorHAnsi" w:hAnsiTheme="minorHAnsi" w:cs="Times New Roman"/>
                <w:color w:val="auto"/>
              </w:rPr>
              <w:t>perator</w:t>
            </w:r>
            <w:r>
              <w:rPr>
                <w:rFonts w:asciiTheme="minorHAnsi" w:hAnsiTheme="minorHAnsi" w:cs="Times New Roman"/>
                <w:color w:val="auto"/>
              </w:rPr>
              <w:t xml:space="preserve"> of the high-voltage direct current tie.</w:t>
            </w:r>
          </w:p>
        </w:tc>
      </w:tr>
      <w:tr w:rsidR="002648FF" w:rsidRPr="006C43BC" w14:paraId="0C9497F5" w14:textId="77777777" w:rsidTr="0039188B">
        <w:tc>
          <w:tcPr>
            <w:tcW w:w="10790" w:type="dxa"/>
            <w:gridSpan w:val="2"/>
            <w:tcBorders>
              <w:bottom w:val="single" w:sz="4" w:space="0" w:color="auto"/>
            </w:tcBorders>
            <w:shd w:val="clear" w:color="auto" w:fill="DCDCFF"/>
          </w:tcPr>
          <w:p w14:paraId="0B1DAD78" w14:textId="0227173C" w:rsidR="002648FF" w:rsidRPr="006C43BC" w:rsidRDefault="002648FF" w:rsidP="00F26B8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sidR="00CC0504">
              <w:rPr>
                <w:rFonts w:asciiTheme="minorHAnsi" w:hAnsiTheme="minorHAnsi" w:cs="Times New Roman"/>
                <w:bCs/>
                <w:color w:val="auto"/>
              </w:rPr>
              <w:t xml:space="preserve">If entity </w:t>
            </w:r>
            <w:r w:rsidR="00631F95">
              <w:rPr>
                <w:rFonts w:asciiTheme="minorHAnsi" w:hAnsiTheme="minorHAnsi" w:cs="Times New Roman"/>
                <w:bCs/>
                <w:color w:val="auto"/>
              </w:rPr>
              <w:t>did not implement</w:t>
            </w:r>
            <w:r w:rsidR="00CC0504">
              <w:rPr>
                <w:rFonts w:asciiTheme="minorHAnsi" w:hAnsiTheme="minorHAnsi" w:cs="Times New Roman"/>
                <w:bCs/>
                <w:color w:val="auto"/>
              </w:rPr>
              <w:t xml:space="preserve"> any</w:t>
            </w:r>
            <w:r w:rsidR="003853BB">
              <w:rPr>
                <w:rFonts w:asciiTheme="minorHAnsi" w:hAnsiTheme="minorHAnsi" w:cs="Times New Roman"/>
                <w:bCs/>
                <w:color w:val="auto"/>
              </w:rPr>
              <w:t xml:space="preserve"> Confirmed Interchange for</w:t>
            </w:r>
            <w:r w:rsidR="00CC0504">
              <w:rPr>
                <w:rFonts w:asciiTheme="minorHAnsi" w:hAnsiTheme="minorHAnsi" w:cs="Times New Roman"/>
                <w:bCs/>
                <w:color w:val="auto"/>
              </w:rPr>
              <w:t xml:space="preserve"> high-voltage direct current ties during the </w:t>
            </w:r>
            <w:r w:rsidR="00F26B84">
              <w:rPr>
                <w:rFonts w:asciiTheme="minorHAnsi" w:hAnsiTheme="minorHAnsi" w:cs="Times New Roman"/>
                <w:bCs/>
                <w:color w:val="auto"/>
              </w:rPr>
              <w:t xml:space="preserve">compliance monitoring </w:t>
            </w:r>
            <w:r w:rsidR="00CC0504">
              <w:rPr>
                <w:rFonts w:asciiTheme="minorHAnsi" w:hAnsiTheme="minorHAnsi" w:cs="Times New Roman"/>
                <w:bCs/>
                <w:color w:val="auto"/>
              </w:rPr>
              <w:t>period, then Requirement R3 is not applicable.</w:t>
            </w:r>
          </w:p>
        </w:tc>
      </w:tr>
    </w:tbl>
    <w:p w14:paraId="3B9650CB" w14:textId="77777777" w:rsidR="002648FF" w:rsidRPr="006C43BC" w:rsidRDefault="002648FF" w:rsidP="002648FF">
      <w:pPr>
        <w:widowControl w:val="0"/>
        <w:tabs>
          <w:tab w:val="left" w:pos="0"/>
        </w:tabs>
        <w:rPr>
          <w:rFonts w:asciiTheme="minorHAnsi" w:hAnsiTheme="minorHAnsi" w:cs="Times New Roman"/>
          <w:b/>
          <w:bCs/>
        </w:rPr>
      </w:pPr>
    </w:p>
    <w:p w14:paraId="23C25BB5" w14:textId="77777777" w:rsidR="002648FF" w:rsidRDefault="002648FF" w:rsidP="002648FF">
      <w:pPr>
        <w:pStyle w:val="RqtSection"/>
      </w:pPr>
    </w:p>
    <w:p w14:paraId="10A65DD5" w14:textId="77777777" w:rsidR="002648FF" w:rsidRPr="006C43BC" w:rsidRDefault="002648FF" w:rsidP="002648FF">
      <w:pPr>
        <w:pStyle w:val="RqtSection"/>
        <w:rPr>
          <w:color w:val="264D74"/>
        </w:rPr>
      </w:pPr>
      <w:r w:rsidRPr="006C43BC">
        <w:t>Auditor</w:t>
      </w:r>
      <w:r>
        <w:t xml:space="preserve"> </w:t>
      </w:r>
      <w:r w:rsidRPr="006C43BC">
        <w:t>Notes:</w:t>
      </w:r>
      <w:r w:rsidRPr="006C43BC">
        <w:rPr>
          <w:color w:val="264D74"/>
        </w:rPr>
        <w:t xml:space="preserve"> </w:t>
      </w:r>
    </w:p>
    <w:p w14:paraId="596A5EF0"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0C8FD9E"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B68DD6"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6C12C0"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181894"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550CAB2" w14:textId="21EDE586" w:rsidR="002648FF" w:rsidRDefault="002648FF" w:rsidP="002648F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bookmarkStart w:id="5" w:name="_Toc323042589"/>
    <w:bookmarkStart w:id="6" w:name="_Toc330463566"/>
    <w:bookmarkEnd w:id="4"/>
    <w:p w14:paraId="5984C13C" w14:textId="4E950B84" w:rsidR="0029340F" w:rsidRDefault="0029340F" w:rsidP="00D97E2A">
      <w:pPr>
        <w:pStyle w:val="SubHead"/>
      </w:pPr>
      <w:r>
        <w:object w:dxaOrig="1518" w:dyaOrig="989" w14:anchorId="46E7A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13" o:title=""/>
          </v:shape>
          <o:OLEObject Type="Embed" ProgID="Acrobat.Document.2017" ShapeID="_x0000_i1027" DrawAspect="Icon" ObjectID="_1677397342" r:id="rId14"/>
        </w:object>
      </w:r>
    </w:p>
    <w:p w14:paraId="39643EC2" w14:textId="08EBCF84" w:rsidR="00490283" w:rsidRPr="006C43BC" w:rsidRDefault="00490283" w:rsidP="00D97E2A">
      <w:pPr>
        <w:pStyle w:val="SubHead"/>
        <w:rPr>
          <w:i/>
        </w:rPr>
      </w:pPr>
      <w:r w:rsidRPr="006C43BC">
        <w:t>Sampling Methodology</w:t>
      </w:r>
      <w:bookmarkEnd w:id="5"/>
      <w:bookmarkEnd w:id="6"/>
      <w:r w:rsidR="002A01BD">
        <w:t xml:space="preserve"> </w:t>
      </w:r>
    </w:p>
    <w:p w14:paraId="0718509E" w14:textId="73CE9641"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9E66AB">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or sample guidelines, provided by the Electric Reli</w:t>
      </w:r>
      <w:bookmarkStart w:id="7" w:name="_GoBack"/>
      <w:bookmarkEnd w:id="7"/>
      <w:r w:rsidRPr="006C43BC">
        <w:rPr>
          <w:rFonts w:asciiTheme="minorHAnsi" w:hAnsiTheme="minorHAnsi"/>
        </w:rPr>
        <w:t xml:space="preserve">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6E29E9D5" w:rsidR="00CC7E3E" w:rsidRDefault="00CC7E3E" w:rsidP="00F07D80">
      <w:pPr>
        <w:pStyle w:val="SubHead"/>
      </w:pPr>
      <w:r w:rsidRPr="006C43BC">
        <w:t>Regulatory Language</w:t>
      </w:r>
    </w:p>
    <w:p w14:paraId="7A73A7B9" w14:textId="05C75DEF" w:rsidR="003660DA" w:rsidRDefault="003660DA" w:rsidP="00F07D80">
      <w:pPr>
        <w:pStyle w:val="SubHead"/>
      </w:pPr>
      <w:hyperlink r:id="rId15" w:history="1">
        <w:r w:rsidRPr="002D679A">
          <w:rPr>
            <w:rStyle w:val="Hyperlink"/>
            <w:b w:val="0"/>
            <w:i/>
          </w:rPr>
          <w:t xml:space="preserve">Electric Reliability Organization Proposal to Retire Requirements in Reliability Standards </w:t>
        </w:r>
        <w:proofErr w:type="gramStart"/>
        <w:r w:rsidRPr="002D679A">
          <w:rPr>
            <w:rStyle w:val="Hyperlink"/>
            <w:b w:val="0"/>
            <w:i/>
          </w:rPr>
          <w:t>Under</w:t>
        </w:r>
        <w:proofErr w:type="gramEnd"/>
        <w:r w:rsidRPr="002D679A">
          <w:rPr>
            <w:rStyle w:val="Hyperlink"/>
            <w:b w:val="0"/>
            <w:i/>
          </w:rPr>
          <w:t xml:space="preserve"> the NERC Standards Efficiency Review</w:t>
        </w:r>
        <w:r w:rsidRPr="002D679A">
          <w:rPr>
            <w:rStyle w:val="Hyperlink"/>
            <w:b w:val="0"/>
          </w:rPr>
          <w:t>, Docket Nos. RM19-16-000 and RM19-17-000, 172 FERC ¶ 61,225 (2020)</w:t>
        </w:r>
      </w:hyperlink>
      <w:r>
        <w:rPr>
          <w:b w:val="0"/>
          <w:u w:val="none"/>
        </w:rPr>
        <w:t>.  Order approving retirement of INT-009-3 R2.</w:t>
      </w:r>
    </w:p>
    <w:p w14:paraId="58FC77C7" w14:textId="6C29B96B" w:rsidR="00F07D80" w:rsidRDefault="00F07D80" w:rsidP="00F07D80">
      <w:pPr>
        <w:pStyle w:val="SubHead"/>
      </w:pPr>
    </w:p>
    <w:p w14:paraId="05EE8974" w14:textId="77777777" w:rsidR="008E0D3E" w:rsidRDefault="008E0D3E" w:rsidP="00F07D80">
      <w:pPr>
        <w:pStyle w:val="SubHead"/>
        <w:rPr>
          <w:u w:val="none"/>
        </w:rPr>
      </w:pPr>
    </w:p>
    <w:p w14:paraId="2B1BCDCE" w14:textId="28AAB703" w:rsidR="008E0D3E" w:rsidRPr="001109C1" w:rsidRDefault="001109C1" w:rsidP="00F07D80">
      <w:pPr>
        <w:pStyle w:val="SubHead"/>
        <w:rPr>
          <w:b w:val="0"/>
          <w:u w:val="none"/>
        </w:rPr>
      </w:pPr>
      <w:r w:rsidRPr="001109C1">
        <w:rPr>
          <w:b w:val="0"/>
          <w:u w:val="none"/>
        </w:rPr>
        <w:t>INT-009-1</w:t>
      </w:r>
      <w:r>
        <w:rPr>
          <w:b w:val="0"/>
          <w:u w:val="none"/>
        </w:rPr>
        <w:t xml:space="preserve"> was approved by </w:t>
      </w:r>
      <w:r w:rsidR="0046214B">
        <w:rPr>
          <w:b w:val="0"/>
          <w:u w:val="none"/>
        </w:rPr>
        <w:t>FERC</w:t>
      </w:r>
      <w:r>
        <w:rPr>
          <w:b w:val="0"/>
          <w:u w:val="none"/>
        </w:rPr>
        <w:t xml:space="preserve"> </w:t>
      </w:r>
      <w:r w:rsidRPr="001109C1">
        <w:rPr>
          <w:b w:val="0"/>
          <w:u w:val="none"/>
        </w:rPr>
        <w:t xml:space="preserve">in </w:t>
      </w:r>
      <w:hyperlink r:id="rId16" w:history="1">
        <w:r w:rsidRPr="001109C1">
          <w:rPr>
            <w:rStyle w:val="Hyperlink"/>
            <w:b w:val="0"/>
            <w:u w:val="none"/>
          </w:rPr>
          <w:t>Order No. 693</w:t>
        </w:r>
      </w:hyperlink>
      <w:r w:rsidRPr="001109C1">
        <w:rPr>
          <w:b w:val="0"/>
          <w:u w:val="none"/>
        </w:rPr>
        <w:t xml:space="preserve"> on March 16, 2007.  In its approval, the Commission </w:t>
      </w:r>
      <w:r>
        <w:rPr>
          <w:b w:val="0"/>
          <w:u w:val="none"/>
        </w:rPr>
        <w:t xml:space="preserve">directed the </w:t>
      </w:r>
      <w:r w:rsidR="0046214B">
        <w:rPr>
          <w:b w:val="0"/>
          <w:u w:val="none"/>
        </w:rPr>
        <w:t xml:space="preserve">NERC </w:t>
      </w:r>
      <w:r>
        <w:rPr>
          <w:b w:val="0"/>
          <w:u w:val="none"/>
        </w:rPr>
        <w:t xml:space="preserve">to clarify which reliability entities have the responsibility for ensuring proper implementation of interchange transactions that have received reliability </w:t>
      </w:r>
      <w:r w:rsidR="00C66660">
        <w:rPr>
          <w:b w:val="0"/>
          <w:u w:val="none"/>
        </w:rPr>
        <w:t>assessments</w:t>
      </w:r>
      <w:r>
        <w:rPr>
          <w:b w:val="0"/>
          <w:u w:val="none"/>
        </w:rPr>
        <w:t xml:space="preserve"> and to </w:t>
      </w:r>
      <w:r w:rsidR="00C66660">
        <w:rPr>
          <w:b w:val="0"/>
          <w:u w:val="none"/>
        </w:rPr>
        <w:t xml:space="preserve">clarify </w:t>
      </w:r>
      <w:r>
        <w:rPr>
          <w:b w:val="0"/>
          <w:u w:val="none"/>
        </w:rPr>
        <w:t>the applicability of the Standard.</w:t>
      </w:r>
      <w:r>
        <w:rPr>
          <w:rStyle w:val="FootnoteReference"/>
          <w:b w:val="0"/>
          <w:u w:val="none"/>
        </w:rPr>
        <w:footnoteReference w:id="3"/>
      </w:r>
      <w:r w:rsidR="00F0254B">
        <w:rPr>
          <w:b w:val="0"/>
          <w:u w:val="none"/>
        </w:rPr>
        <w:t xml:space="preserve">  INT-009-2 has been expanded to clarify the role of the Balancing Authority in Interchanges.</w:t>
      </w:r>
    </w:p>
    <w:p w14:paraId="651940FC" w14:textId="77777777" w:rsidR="00CC1AA5" w:rsidRDefault="00CC1AA5" w:rsidP="008E0D3E">
      <w:pPr>
        <w:pStyle w:val="FERCparanumber"/>
        <w:tabs>
          <w:tab w:val="clear" w:pos="720"/>
        </w:tabs>
        <w:rPr>
          <w:b/>
          <w:sz w:val="24"/>
        </w:rPr>
      </w:pPr>
    </w:p>
    <w:p w14:paraId="5751A123" w14:textId="77777777" w:rsidR="008E0D3E" w:rsidRPr="00E76EE9" w:rsidRDefault="008E0D3E" w:rsidP="008E0D3E">
      <w:pPr>
        <w:pStyle w:val="FERCparanumber"/>
        <w:tabs>
          <w:tab w:val="clear" w:pos="720"/>
        </w:tabs>
        <w:rPr>
          <w:sz w:val="24"/>
        </w:rPr>
      </w:pPr>
      <w:r w:rsidRPr="00E76EE9">
        <w:rPr>
          <w:b/>
          <w:sz w:val="24"/>
        </w:rPr>
        <w:t>North American Electric Reliability Corp.., Docket No. RD14-4-000 (June 30, 2014) (letter order).</w:t>
      </w:r>
      <w:r w:rsidRPr="00E76EE9">
        <w:rPr>
          <w:sz w:val="24"/>
        </w:rPr>
        <w:t xml:space="preserve">  Order approving proposed Reliability Standards for Interchange Scheduling and Coordination.</w:t>
      </w:r>
    </w:p>
    <w:p w14:paraId="719F8E5C" w14:textId="77777777" w:rsidR="008E0D3E" w:rsidRPr="00E76EE9" w:rsidRDefault="0029340F" w:rsidP="008E0D3E">
      <w:pPr>
        <w:pStyle w:val="PlainText"/>
        <w:rPr>
          <w:rFonts w:asciiTheme="minorHAnsi" w:hAnsiTheme="minorHAnsi"/>
          <w:sz w:val="24"/>
          <w:szCs w:val="24"/>
        </w:rPr>
      </w:pPr>
      <w:hyperlink r:id="rId17" w:history="1">
        <w:r w:rsidR="008E0D3E" w:rsidRPr="00E76EE9">
          <w:rPr>
            <w:rStyle w:val="Hyperlink"/>
            <w:rFonts w:asciiTheme="minorHAnsi" w:hAnsiTheme="minorHAnsi"/>
            <w:sz w:val="24"/>
            <w:szCs w:val="24"/>
          </w:rPr>
          <w:t>http://www.nerc.com/FilingsOrders/us/FERCOrdersRules/INT%20Letter%20Order.pdf</w:t>
        </w:r>
      </w:hyperlink>
    </w:p>
    <w:p w14:paraId="27DBD435" w14:textId="77777777" w:rsidR="00F07D80" w:rsidRDefault="00F07D80" w:rsidP="00F07D80">
      <w:pPr>
        <w:pStyle w:val="SubHead"/>
        <w:rPr>
          <w:b w:val="0"/>
          <w:u w:val="none"/>
        </w:rPr>
      </w:pPr>
    </w:p>
    <w:p w14:paraId="112546AD" w14:textId="2C18AD93" w:rsidR="008E0D3E" w:rsidRDefault="008E0D3E" w:rsidP="008E0D3E">
      <w:pPr>
        <w:pStyle w:val="SubHead"/>
        <w:ind w:left="900" w:hanging="900"/>
        <w:rPr>
          <w:b w:val="0"/>
          <w:u w:val="none"/>
        </w:rPr>
      </w:pPr>
      <w:r>
        <w:rPr>
          <w:b w:val="0"/>
          <w:u w:val="none"/>
        </w:rPr>
        <w:t>Page 2.</w:t>
      </w:r>
      <w:r>
        <w:rPr>
          <w:b w:val="0"/>
          <w:u w:val="none"/>
        </w:rPr>
        <w:tab/>
      </w:r>
      <w:r w:rsidR="00654B29">
        <w:rPr>
          <w:b w:val="0"/>
          <w:u w:val="none"/>
        </w:rPr>
        <w:t>FERC</w:t>
      </w:r>
      <w:r>
        <w:rPr>
          <w:b w:val="0"/>
          <w:u w:val="none"/>
        </w:rPr>
        <w:t xml:space="preserve"> approved “Reliability Standard INT-009-</w:t>
      </w:r>
      <w:r w:rsidR="00067379">
        <w:rPr>
          <w:b w:val="0"/>
          <w:u w:val="none"/>
        </w:rPr>
        <w:t>[</w:t>
      </w:r>
      <w:r>
        <w:rPr>
          <w:b w:val="0"/>
          <w:u w:val="none"/>
        </w:rPr>
        <w:t>2 which requires</w:t>
      </w:r>
      <w:r w:rsidR="00067379">
        <w:rPr>
          <w:b w:val="0"/>
          <w:u w:val="none"/>
        </w:rPr>
        <w:t>]</w:t>
      </w:r>
      <w:r>
        <w:rPr>
          <w:b w:val="0"/>
          <w:u w:val="none"/>
        </w:rPr>
        <w:t xml:space="preserve"> balancing authorities to implement the interchange as agreed during the interchange confirmation process.”</w:t>
      </w:r>
    </w:p>
    <w:p w14:paraId="6155C3D2" w14:textId="77777777" w:rsidR="008E0D3E" w:rsidRDefault="008E0D3E" w:rsidP="008E0D3E">
      <w:pPr>
        <w:pStyle w:val="SubHead"/>
        <w:ind w:left="900" w:hanging="900"/>
        <w:rPr>
          <w:b w:val="0"/>
          <w:u w:val="none"/>
        </w:rPr>
      </w:pPr>
    </w:p>
    <w:p w14:paraId="32463784" w14:textId="785A0CC2" w:rsidR="008E0D3E" w:rsidRPr="008E0D3E" w:rsidRDefault="008E0D3E" w:rsidP="008E0D3E">
      <w:pPr>
        <w:pStyle w:val="SubHead"/>
        <w:ind w:left="900" w:hanging="900"/>
        <w:rPr>
          <w:u w:val="none"/>
        </w:rPr>
      </w:pPr>
      <w:r w:rsidRPr="008E0D3E">
        <w:rPr>
          <w:u w:val="none"/>
        </w:rPr>
        <w:t xml:space="preserve">Order </w:t>
      </w:r>
      <w:r w:rsidR="005A4B67">
        <w:rPr>
          <w:u w:val="none"/>
        </w:rPr>
        <w:t xml:space="preserve">No. </w:t>
      </w:r>
      <w:r w:rsidRPr="008E0D3E">
        <w:rPr>
          <w:u w:val="none"/>
        </w:rPr>
        <w:t>693</w:t>
      </w:r>
      <w:r w:rsidR="005A4B67">
        <w:rPr>
          <w:u w:val="none"/>
        </w:rPr>
        <w:t>.</w:t>
      </w:r>
    </w:p>
    <w:p w14:paraId="0D1CF82E" w14:textId="77777777" w:rsidR="008E0D3E" w:rsidRDefault="008E0D3E" w:rsidP="008E0D3E">
      <w:pPr>
        <w:pStyle w:val="SubHead"/>
        <w:ind w:left="900" w:hanging="900"/>
        <w:rPr>
          <w:b w:val="0"/>
          <w:u w:val="none"/>
        </w:rPr>
      </w:pPr>
    </w:p>
    <w:p w14:paraId="0FCCFA21" w14:textId="77777777" w:rsidR="008E0D3E" w:rsidRPr="00671167" w:rsidRDefault="0029340F" w:rsidP="008E0D3E">
      <w:pPr>
        <w:pStyle w:val="FERCparanumber"/>
        <w:rPr>
          <w:sz w:val="24"/>
        </w:rPr>
      </w:pPr>
      <w:hyperlink r:id="rId18" w:history="1">
        <w:r w:rsidR="008E0D3E" w:rsidRPr="00671167">
          <w:rPr>
            <w:rStyle w:val="Hyperlink"/>
            <w:sz w:val="24"/>
          </w:rPr>
          <w:t>http://www.nerc.com/FilingsOrders/us/FERCOrdersRules/ORDER%20693.pdf</w:t>
        </w:r>
      </w:hyperlink>
    </w:p>
    <w:p w14:paraId="2B69B07D" w14:textId="7B2344F0" w:rsidR="008E0D3E" w:rsidRPr="00F07D80" w:rsidRDefault="008E0D3E" w:rsidP="008E0D3E">
      <w:pPr>
        <w:pStyle w:val="SubHead"/>
        <w:ind w:left="900" w:hanging="900"/>
        <w:rPr>
          <w:b w:val="0"/>
          <w:u w:val="none"/>
        </w:rPr>
      </w:pPr>
      <w:r>
        <w:rPr>
          <w:b w:val="0"/>
          <w:u w:val="none"/>
        </w:rPr>
        <w:t>P 875</w:t>
      </w:r>
      <w:r>
        <w:rPr>
          <w:b w:val="0"/>
          <w:u w:val="none"/>
        </w:rPr>
        <w:tab/>
      </w:r>
      <w:r w:rsidR="00CC1AA5">
        <w:rPr>
          <w:b w:val="0"/>
          <w:u w:val="none"/>
        </w:rPr>
        <w:t>FERC</w:t>
      </w:r>
      <w:r>
        <w:rPr>
          <w:b w:val="0"/>
          <w:u w:val="none"/>
        </w:rPr>
        <w:t xml:space="preserve"> </w:t>
      </w:r>
      <w:r w:rsidR="00654B29">
        <w:rPr>
          <w:b w:val="0"/>
          <w:u w:val="none"/>
        </w:rPr>
        <w:t xml:space="preserve">approved </w:t>
      </w:r>
      <w:r>
        <w:rPr>
          <w:b w:val="0"/>
          <w:u w:val="none"/>
        </w:rPr>
        <w:t xml:space="preserve">Reliability Standard INT-009-1 as mandatory and enforceable.  </w:t>
      </w:r>
      <w:r w:rsidR="00767F0B">
        <w:rPr>
          <w:b w:val="0"/>
          <w:u w:val="none"/>
        </w:rPr>
        <w:t>“</w:t>
      </w:r>
      <w:r>
        <w:rPr>
          <w:b w:val="0"/>
          <w:u w:val="none"/>
        </w:rPr>
        <w:t>Our understanding is that a source and sink balancing authority will serve as the interchange authority until the ERO has clarified the role and responsibility of an interchange authority in the modification of the Functional Model and in the registration process.</w:t>
      </w:r>
      <w:r w:rsidR="00767F0B">
        <w:rPr>
          <w:b w:val="0"/>
          <w:u w:val="none"/>
        </w:rPr>
        <w:t>”</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EE246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EE246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EE246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EE246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EE2461">
            <w:pPr>
              <w:jc w:val="center"/>
              <w:rPr>
                <w:rFonts w:ascii="Calibri" w:hAnsi="Calibri" w:cs="Times New Roman"/>
                <w:b/>
              </w:rPr>
            </w:pPr>
            <w:r w:rsidRPr="009B28B0">
              <w:rPr>
                <w:rFonts w:ascii="Calibri" w:hAnsi="Calibri" w:cs="Times New Roman"/>
                <w:b/>
              </w:rPr>
              <w:t>Revision Description</w:t>
            </w:r>
          </w:p>
        </w:tc>
      </w:tr>
      <w:tr w:rsidR="00E1620B" w:rsidRPr="009B28B0" w14:paraId="08B04C58"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1920480" w14:textId="68E6C207" w:rsidR="00E1620B" w:rsidRPr="009B28B0" w:rsidRDefault="005D73D0" w:rsidP="00E1620B">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39C39DFC" w14:textId="189BDFE5" w:rsidR="00E1620B" w:rsidRPr="009B28B0" w:rsidRDefault="0029340F" w:rsidP="0029340F">
            <w:pPr>
              <w:jc w:val="center"/>
              <w:rPr>
                <w:rFonts w:ascii="Calibri" w:hAnsi="Calibri" w:cs="Times New Roman"/>
              </w:rPr>
            </w:pPr>
            <w:r>
              <w:rPr>
                <w:rFonts w:ascii="Calibri" w:hAnsi="Calibri" w:cs="Times New Roman"/>
              </w:rPr>
              <w:t>3</w:t>
            </w:r>
            <w:r w:rsidR="00E1620B">
              <w:rPr>
                <w:rFonts w:ascii="Calibri" w:hAnsi="Calibri" w:cs="Times New Roman"/>
              </w:rPr>
              <w:t>/</w:t>
            </w:r>
            <w:r>
              <w:rPr>
                <w:rFonts w:ascii="Calibri" w:hAnsi="Calibri" w:cs="Times New Roman"/>
              </w:rPr>
              <w:t>18</w:t>
            </w:r>
            <w:r w:rsidR="00E1620B">
              <w:rPr>
                <w:rFonts w:ascii="Calibri" w:hAnsi="Calibri" w:cs="Times New Roman"/>
              </w:rPr>
              <w:t>/20</w:t>
            </w:r>
            <w:r w:rsidR="00C07BC8">
              <w:rPr>
                <w:rFonts w:ascii="Calibri" w:hAnsi="Calibri" w:cs="Times New Roman"/>
              </w:rPr>
              <w:t>2</w:t>
            </w:r>
            <w:r w:rsidR="00E1620B">
              <w:rPr>
                <w:rFonts w:ascii="Calibri" w:hAnsi="Calibri" w:cs="Times New Roman"/>
              </w:rPr>
              <w:t>1</w:t>
            </w:r>
          </w:p>
        </w:tc>
        <w:tc>
          <w:tcPr>
            <w:tcW w:w="2520" w:type="dxa"/>
            <w:tcBorders>
              <w:top w:val="single" w:sz="4" w:space="0" w:color="000000"/>
              <w:left w:val="single" w:sz="4" w:space="0" w:color="000000"/>
              <w:bottom w:val="single" w:sz="4" w:space="0" w:color="000000"/>
              <w:right w:val="single" w:sz="4" w:space="0" w:color="000000"/>
            </w:tcBorders>
          </w:tcPr>
          <w:p w14:paraId="20908D36" w14:textId="64EEE674" w:rsidR="00E1620B" w:rsidRPr="009B28B0" w:rsidRDefault="00E1620B" w:rsidP="00E1620B">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64862117" w14:textId="2A1B5EB2" w:rsidR="00E1620B" w:rsidRPr="009B28B0" w:rsidRDefault="005D73D0" w:rsidP="00C07BC8">
            <w:pPr>
              <w:rPr>
                <w:rFonts w:ascii="Calibri" w:hAnsi="Calibri" w:cs="Times New Roman"/>
              </w:rPr>
            </w:pPr>
            <w:r>
              <w:rPr>
                <w:rFonts w:ascii="Calibri" w:hAnsi="Calibri" w:cs="Times New Roman"/>
              </w:rPr>
              <w:t xml:space="preserve">New Document </w:t>
            </w:r>
          </w:p>
        </w:tc>
      </w:tr>
      <w:tr w:rsidR="00E1620B" w:rsidRPr="009B28B0" w14:paraId="1F5CB434"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E1620B" w:rsidRDefault="00E1620B" w:rsidP="00E1620B">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E1620B" w:rsidRPr="009B28B0" w:rsidRDefault="00E1620B" w:rsidP="00E1620B">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E1620B" w:rsidRPr="009B28B0" w:rsidRDefault="00E1620B" w:rsidP="00E1620B">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E1620B" w:rsidRPr="009B28B0" w:rsidRDefault="00E1620B" w:rsidP="00E1620B">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9"/>
      <w:footerReference w:type="default" r:id="rId2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399A5" w14:textId="77777777" w:rsidR="00CE2EB4" w:rsidRDefault="00CE2EB4">
      <w:r>
        <w:separator/>
      </w:r>
    </w:p>
  </w:endnote>
  <w:endnote w:type="continuationSeparator" w:id="0">
    <w:p w14:paraId="764059C6" w14:textId="77777777" w:rsidR="00CE2EB4" w:rsidRDefault="00CE2EB4">
      <w:r>
        <w:continuationSeparator/>
      </w:r>
    </w:p>
  </w:endnote>
  <w:endnote w:id="1">
    <w:p w14:paraId="7D0C54ED" w14:textId="406192E8" w:rsidR="00EE2461" w:rsidRPr="000D0AEA" w:rsidRDefault="00EE2461">
      <w:pPr>
        <w:pStyle w:val="EndnoteText"/>
        <w:rPr>
          <w:rFonts w:asciiTheme="minorHAnsi" w:hAnsiTheme="minorHAnsi"/>
        </w:rPr>
      </w:pPr>
      <w:r w:rsidRPr="000D0AEA">
        <w:rPr>
          <w:rStyle w:val="EndnoteReference"/>
          <w:rFonts w:asciiTheme="minorHAnsi" w:hAnsiTheme="minorHAnsi"/>
        </w:rPr>
        <w:endnoteRef/>
      </w:r>
      <w:r w:rsidRPr="000D0AEA">
        <w:rPr>
          <w:rFonts w:asciiTheme="minorHAnsi" w:hAnsiTheme="minorHAnsi"/>
        </w:rPr>
        <w:t xml:space="preserve"> </w:t>
      </w:r>
      <w:r w:rsidRPr="000D0AEA">
        <w:rPr>
          <w:rFonts w:asciiTheme="minorHAnsi" w:hAnsiTheme="minorHAnsi"/>
          <w:sz w:val="18"/>
        </w:rPr>
        <w:t>Items in the Evidence Requested section are suggested evidence that may, but will not necessarily, demonstrate compliance. These items are not mandatory</w:t>
      </w:r>
      <w:r w:rsidR="003660DA">
        <w:rPr>
          <w:rFonts w:asciiTheme="minorHAnsi" w:hAnsiTheme="minorHAnsi"/>
          <w:sz w:val="18"/>
        </w:rPr>
        <w:t>,</w:t>
      </w:r>
      <w:r w:rsidRPr="000D0AEA">
        <w:rPr>
          <w:rFonts w:asciiTheme="minorHAnsi" w:hAnsiTheme="minorHAnsi"/>
          <w:sz w:val="18"/>
        </w:rPr>
        <w:t xml:space="preserve">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73A4F527" w:rsidR="00EE2461" w:rsidRPr="001D34F6" w:rsidRDefault="00EE246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EE2461" w:rsidRPr="001D34F6" w:rsidRDefault="00EE246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206A36D6" w14:textId="2F9AFDB8" w:rsidR="00EE2461" w:rsidRPr="008C17EB" w:rsidRDefault="00EE246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9C3A78">
      <w:rPr>
        <w:rFonts w:asciiTheme="minorHAnsi" w:hAnsiTheme="minorHAnsi"/>
        <w:color w:val="0070C0"/>
        <w:sz w:val="18"/>
        <w:szCs w:val="22"/>
      </w:rPr>
      <w:t>INT-009-</w:t>
    </w:r>
    <w:r w:rsidR="00C07BC8">
      <w:rPr>
        <w:rFonts w:asciiTheme="minorHAnsi" w:hAnsiTheme="minorHAnsi"/>
        <w:color w:val="0070C0"/>
        <w:sz w:val="18"/>
        <w:szCs w:val="22"/>
      </w:rPr>
      <w:t>3</w:t>
    </w:r>
    <w:r>
      <w:rPr>
        <w:rFonts w:asciiTheme="minorHAnsi" w:hAnsiTheme="minorHAnsi"/>
        <w:color w:val="0070C0"/>
        <w:sz w:val="18"/>
        <w:szCs w:val="22"/>
      </w:rPr>
      <w:t>_20</w:t>
    </w:r>
    <w:r w:rsidR="00C07BC8">
      <w:rPr>
        <w:rFonts w:asciiTheme="minorHAnsi" w:hAnsiTheme="minorHAnsi"/>
        <w:color w:val="0070C0"/>
        <w:sz w:val="18"/>
        <w:szCs w:val="22"/>
      </w:rPr>
      <w:t>2</w:t>
    </w:r>
    <w:r>
      <w:rPr>
        <w:rFonts w:asciiTheme="minorHAnsi" w:hAnsiTheme="minorHAnsi"/>
        <w:color w:val="0070C0"/>
        <w:sz w:val="18"/>
        <w:szCs w:val="22"/>
      </w:rPr>
      <w:t>1</w:t>
    </w:r>
    <w:r w:rsidRPr="00F019DB">
      <w:rPr>
        <w:rFonts w:asciiTheme="minorHAnsi" w:hAnsiTheme="minorHAnsi"/>
        <w:color w:val="0070C0"/>
        <w:sz w:val="18"/>
        <w:szCs w:val="22"/>
      </w:rPr>
      <w:t>_v</w:t>
    </w:r>
    <w:r w:rsidR="005D73D0">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29340F">
      <w:rPr>
        <w:rFonts w:asciiTheme="minorHAnsi" w:hAnsiTheme="minorHAnsi"/>
        <w:color w:val="auto"/>
        <w:sz w:val="18"/>
        <w:szCs w:val="22"/>
      </w:rPr>
      <w:t>March</w:t>
    </w:r>
    <w:r w:rsidR="00881D5C">
      <w:rPr>
        <w:rFonts w:asciiTheme="minorHAnsi" w:hAnsiTheme="minorHAnsi"/>
        <w:color w:val="0070C0"/>
        <w:sz w:val="18"/>
        <w:szCs w:val="22"/>
      </w:rPr>
      <w:t>, 20</w:t>
    </w:r>
    <w:r w:rsidR="00C07BC8">
      <w:rPr>
        <w:rFonts w:asciiTheme="minorHAnsi" w:hAnsiTheme="minorHAnsi"/>
        <w:color w:val="0070C0"/>
        <w:sz w:val="18"/>
        <w:szCs w:val="22"/>
      </w:rPr>
      <w:t>2</w:t>
    </w:r>
    <w:r w:rsidR="00881D5C">
      <w:rPr>
        <w:rFonts w:asciiTheme="minorHAnsi" w:hAnsiTheme="minorHAnsi"/>
        <w:color w:val="0070C0"/>
        <w:sz w:val="18"/>
        <w:szCs w:val="22"/>
      </w:rPr>
      <w:t>1</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sidR="00881D5C">
      <w:rPr>
        <w:rFonts w:asciiTheme="minorHAnsi" w:hAnsiTheme="minorHAnsi"/>
        <w:color w:val="0070C0"/>
        <w:sz w:val="18"/>
        <w:szCs w:val="22"/>
      </w:rPr>
      <w:t>RSAW2014R1</w:t>
    </w:r>
    <w:r>
      <w:rPr>
        <w:rFonts w:asciiTheme="minorHAnsi" w:hAnsiTheme="minorHAnsi"/>
        <w:color w:val="0070C0"/>
        <w:sz w:val="18"/>
        <w:szCs w:val="22"/>
      </w:rPr>
      <w:t>.</w:t>
    </w:r>
    <w:r w:rsidR="00881D5C">
      <w:rPr>
        <w:rFonts w:asciiTheme="minorHAnsi" w:hAnsiTheme="minorHAnsi"/>
        <w:color w:val="0070C0"/>
        <w:sz w:val="18"/>
        <w:szCs w:val="22"/>
      </w:rPr>
      <w:t>2</w:t>
    </w:r>
  </w:p>
  <w:p w14:paraId="25C67880" w14:textId="4E1DACE6" w:rsidR="00EE2461" w:rsidRPr="0071254D" w:rsidRDefault="00EE246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29340F">
      <w:rPr>
        <w:rStyle w:val="PageNumber"/>
        <w:rFonts w:asciiTheme="minorHAnsi" w:hAnsiTheme="minorHAnsi" w:cs="Times New Roman"/>
        <w:noProof/>
        <w:sz w:val="18"/>
        <w:szCs w:val="18"/>
      </w:rPr>
      <w:t>8</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59F1" w14:textId="77777777" w:rsidR="00CE2EB4" w:rsidRDefault="00CE2EB4">
      <w:r>
        <w:separator/>
      </w:r>
    </w:p>
  </w:footnote>
  <w:footnote w:type="continuationSeparator" w:id="0">
    <w:p w14:paraId="3D41D6EB" w14:textId="77777777" w:rsidR="00CE2EB4" w:rsidRDefault="00CE2EB4">
      <w:r>
        <w:continuationSeparator/>
      </w:r>
    </w:p>
  </w:footnote>
  <w:footnote w:id="1">
    <w:p w14:paraId="43ED6495" w14:textId="1CE0C914" w:rsidR="00EE2461" w:rsidRPr="004F562B" w:rsidRDefault="00EE246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EE2461" w:rsidRPr="004F562B" w:rsidRDefault="00EE2461" w:rsidP="001D52A5">
      <w:pPr>
        <w:jc w:val="both"/>
        <w:rPr>
          <w:rFonts w:asciiTheme="minorHAnsi" w:hAnsiTheme="minorHAnsi" w:cs="Times New Roman"/>
          <w:sz w:val="16"/>
          <w:szCs w:val="16"/>
        </w:rPr>
      </w:pPr>
    </w:p>
    <w:p w14:paraId="5A4CC534" w14:textId="0A32ADF6" w:rsidR="00EE2461" w:rsidRDefault="009C3A78">
      <w:pPr>
        <w:pStyle w:val="FootnoteText"/>
      </w:pPr>
      <w:r w:rsidRPr="009C3A78">
        <w:rPr>
          <w:rFonts w:asciiTheme="minorHAnsi" w:hAnsiTheme="minorHAnsi" w:cs="Times New Roman"/>
          <w:sz w:val="16"/>
          <w:szCs w:val="16"/>
        </w:rPr>
        <w:t>The RSAW may provide a non-exclusive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 which are provided for ease of reference only, and this document does not necessarily include all applicable Order provisions.  In the event of a discrepancy between FERC Orders and the language included in this document, FERC Orders shall prevail.</w:t>
      </w:r>
    </w:p>
  </w:footnote>
  <w:footnote w:id="2">
    <w:p w14:paraId="4E364D8E" w14:textId="77777777" w:rsidR="00EE2461" w:rsidRPr="005E228B" w:rsidRDefault="00EE2461">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0C7170E" w14:textId="31F96772" w:rsidR="001109C1" w:rsidRPr="001109C1" w:rsidRDefault="001109C1">
      <w:pPr>
        <w:pStyle w:val="FootnoteText"/>
        <w:rPr>
          <w:rFonts w:asciiTheme="minorHAnsi" w:hAnsiTheme="minorHAnsi"/>
          <w:sz w:val="18"/>
          <w:szCs w:val="18"/>
        </w:rPr>
      </w:pPr>
      <w:r w:rsidRPr="001109C1">
        <w:rPr>
          <w:rStyle w:val="FootnoteReference"/>
          <w:rFonts w:asciiTheme="minorHAnsi" w:hAnsiTheme="minorHAnsi"/>
          <w:sz w:val="18"/>
          <w:szCs w:val="18"/>
        </w:rPr>
        <w:footnoteRef/>
      </w:r>
      <w:r w:rsidRPr="001109C1">
        <w:rPr>
          <w:rFonts w:asciiTheme="minorHAnsi" w:hAnsiTheme="minorHAnsi"/>
          <w:sz w:val="18"/>
          <w:szCs w:val="18"/>
        </w:rPr>
        <w:t xml:space="preserve"> </w:t>
      </w:r>
      <w:r w:rsidRPr="001109C1">
        <w:rPr>
          <w:rFonts w:asciiTheme="minorHAnsi" w:hAnsiTheme="minorHAnsi" w:cs="Calibri-Italic"/>
          <w:i/>
          <w:iCs/>
          <w:sz w:val="18"/>
          <w:szCs w:val="18"/>
        </w:rPr>
        <w:t>Mandatory Reliability Standards for the Bulk</w:t>
      </w:r>
      <w:r w:rsidRPr="001109C1">
        <w:rPr>
          <w:rFonts w:asciiTheme="minorHAnsi" w:hAnsiTheme="minorHAnsi" w:cs="Cambria Math"/>
          <w:i/>
          <w:iCs/>
          <w:sz w:val="18"/>
          <w:szCs w:val="18"/>
        </w:rPr>
        <w:t>‐</w:t>
      </w:r>
      <w:r w:rsidRPr="001109C1">
        <w:rPr>
          <w:rFonts w:asciiTheme="minorHAnsi" w:hAnsiTheme="minorHAnsi" w:cs="Calibri-Italic"/>
          <w:i/>
          <w:iCs/>
          <w:sz w:val="18"/>
          <w:szCs w:val="18"/>
        </w:rPr>
        <w:t>Power System</w:t>
      </w:r>
      <w:r>
        <w:rPr>
          <w:rFonts w:asciiTheme="minorHAnsi" w:hAnsiTheme="minorHAnsi" w:cs="Calibri"/>
          <w:sz w:val="18"/>
          <w:szCs w:val="18"/>
        </w:rPr>
        <w:t>, 118 FERC ¶ 61,218 at P874-875</w:t>
      </w:r>
      <w:r w:rsidRPr="001109C1">
        <w:rPr>
          <w:rFonts w:asciiTheme="minorHAnsi" w:hAnsiTheme="minorHAnsi" w:cs="Calibri"/>
          <w:sz w:val="18"/>
          <w:szCs w:val="18"/>
        </w:rPr>
        <w:t xml:space="preserve"> (March 16, 2007) (“Order 693”).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70E4B107" w:rsidR="00EE2461" w:rsidRDefault="00EE2461" w:rsidP="00E67FE8">
    <w:pPr>
      <w:widowControl w:val="0"/>
      <w:spacing w:line="294" w:lineRule="exact"/>
      <w:rPr>
        <w:rFonts w:ascii="Times New Roman" w:hAnsi="Times New Roman" w:cs="Times New Roman"/>
        <w:b/>
        <w:bCs/>
        <w:color w:val="003366"/>
        <w:sz w:val="28"/>
        <w:szCs w:val="28"/>
      </w:rPr>
    </w:pPr>
  </w:p>
  <w:p w14:paraId="15ACB535" w14:textId="44856C3A" w:rsidR="00EE2461" w:rsidRPr="00747591" w:rsidRDefault="00EE246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EE2461" w:rsidRDefault="00EE2461"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EE2461" w:rsidRDefault="00EE2461">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5F7A20"/>
    <w:multiLevelType w:val="multilevel"/>
    <w:tmpl w:val="9CCA6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169EC"/>
    <w:multiLevelType w:val="multilevel"/>
    <w:tmpl w:val="A35EB440"/>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bullet"/>
      <w:lvlText w:val="o"/>
      <w:lvlJc w:val="left"/>
      <w:pPr>
        <w:tabs>
          <w:tab w:val="num" w:pos="1080"/>
        </w:tabs>
        <w:ind w:left="2160" w:hanging="1080"/>
      </w:pPr>
      <w:rPr>
        <w:rFonts w:ascii="Courier New" w:hAnsi="Courier New" w:cs="Courier New"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15:restartNumberingAfterBreak="0">
    <w:nsid w:val="0BC7728F"/>
    <w:multiLevelType w:val="multilevel"/>
    <w:tmpl w:val="32F8A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A1640"/>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5" w15:restartNumberingAfterBreak="0">
    <w:nsid w:val="224B5F89"/>
    <w:multiLevelType w:val="hybridMultilevel"/>
    <w:tmpl w:val="9A30AD7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30F15038"/>
    <w:multiLevelType w:val="multilevel"/>
    <w:tmpl w:val="61128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BC4E84"/>
    <w:multiLevelType w:val="hybridMultilevel"/>
    <w:tmpl w:val="CD6EA872"/>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721A7C"/>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9" w15:restartNumberingAfterBreak="0">
    <w:nsid w:val="3A091B02"/>
    <w:multiLevelType w:val="hybridMultilevel"/>
    <w:tmpl w:val="2FC053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603329F"/>
    <w:multiLevelType w:val="multilevel"/>
    <w:tmpl w:val="7340D1B6"/>
    <w:lvl w:ilvl="0">
      <w:start w:val="1"/>
      <w:numFmt w:val="decimal"/>
      <w:pStyle w:val="Requirement"/>
      <w:lvlText w:val="R%1."/>
      <w:lvlJc w:val="left"/>
      <w:pPr>
        <w:tabs>
          <w:tab w:val="num" w:pos="-144"/>
        </w:tabs>
        <w:ind w:left="-144" w:hanging="576"/>
      </w:pPr>
      <w:rPr>
        <w:rFonts w:hint="default"/>
        <w:b/>
        <w:i w:val="0"/>
        <w:sz w:val="24"/>
        <w:szCs w:val="22"/>
      </w:rPr>
    </w:lvl>
    <w:lvl w:ilvl="1">
      <w:start w:val="1"/>
      <w:numFmt w:val="decimal"/>
      <w:lvlText w:val="%1.%2."/>
      <w:lvlJc w:val="left"/>
      <w:pPr>
        <w:tabs>
          <w:tab w:val="num" w:pos="360"/>
        </w:tabs>
        <w:ind w:left="360" w:hanging="504"/>
      </w:pPr>
      <w:rPr>
        <w:rFonts w:asciiTheme="minorHAnsi" w:hAnsiTheme="minorHAnsi" w:hint="default"/>
        <w:b/>
        <w:i w:val="0"/>
        <w:sz w:val="24"/>
        <w:szCs w:val="22"/>
      </w:rPr>
    </w:lvl>
    <w:lvl w:ilvl="2">
      <w:start w:val="1"/>
      <w:numFmt w:val="decimal"/>
      <w:lvlText w:val="%1.%2.%3."/>
      <w:lvlJc w:val="left"/>
      <w:pPr>
        <w:tabs>
          <w:tab w:val="num" w:pos="648"/>
        </w:tabs>
        <w:ind w:left="1080" w:hanging="720"/>
      </w:pPr>
      <w:rPr>
        <w:rFonts w:ascii="Times New Roman" w:hAnsi="Times New Roman"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15:restartNumberingAfterBreak="0">
    <w:nsid w:val="4C85482B"/>
    <w:multiLevelType w:val="multilevel"/>
    <w:tmpl w:val="E01EA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C54135"/>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13" w15:restartNumberingAfterBreak="0">
    <w:nsid w:val="5F4F17D1"/>
    <w:multiLevelType w:val="multilevel"/>
    <w:tmpl w:val="B0E84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CB3584"/>
    <w:multiLevelType w:val="multilevel"/>
    <w:tmpl w:val="E8DE2248"/>
    <w:lvl w:ilvl="0">
      <w:start w:val="5"/>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5" w15:restartNumberingAfterBreak="0">
    <w:nsid w:val="6D437642"/>
    <w:multiLevelType w:val="multilevel"/>
    <w:tmpl w:val="1536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6278A6"/>
    <w:multiLevelType w:val="multilevel"/>
    <w:tmpl w:val="A9CC9850"/>
    <w:lvl w:ilvl="0">
      <w:start w:val="1"/>
      <w:numFmt w:val="decimal"/>
      <w:lvlText w:val="R%1."/>
      <w:lvlJc w:val="left"/>
      <w:pPr>
        <w:tabs>
          <w:tab w:val="num" w:pos="1080"/>
        </w:tabs>
        <w:ind w:left="1080" w:hanging="576"/>
      </w:pPr>
      <w:rPr>
        <w:rFonts w:cs="Times New Roman" w:hint="default"/>
        <w:b/>
        <w:i w:val="0"/>
        <w:sz w:val="22"/>
        <w:szCs w:val="22"/>
      </w:rPr>
    </w:lvl>
    <w:lvl w:ilvl="1">
      <w:start w:val="1"/>
      <w:numFmt w:val="bullet"/>
      <w:pStyle w:val="ListBullet2"/>
      <w:lvlText w:val="-"/>
      <w:lvlJc w:val="left"/>
      <w:pPr>
        <w:tabs>
          <w:tab w:val="num" w:pos="1440"/>
        </w:tabs>
        <w:ind w:left="1440" w:hanging="360"/>
      </w:pPr>
      <w:rPr>
        <w:rFonts w:ascii="Courier New" w:hAnsi="Courier New" w:hint="default"/>
        <w:b/>
        <w:i w:val="0"/>
        <w:color w:val="auto"/>
        <w:sz w:val="22"/>
      </w:rPr>
    </w:lvl>
    <w:lvl w:ilvl="2">
      <w:start w:val="1"/>
      <w:numFmt w:val="decimal"/>
      <w:lvlText w:val="R%1.%2.%3."/>
      <w:lvlJc w:val="left"/>
      <w:pPr>
        <w:tabs>
          <w:tab w:val="num" w:pos="1872"/>
        </w:tabs>
        <w:ind w:left="2736" w:hanging="864"/>
      </w:pPr>
      <w:rPr>
        <w:rFonts w:ascii="Times New Roman" w:hAnsi="Times New Roman" w:cs="Times New Roman" w:hint="default"/>
        <w:b/>
        <w:i w:val="0"/>
        <w:sz w:val="22"/>
        <w:szCs w:val="22"/>
      </w:rPr>
    </w:lvl>
    <w:lvl w:ilvl="3">
      <w:start w:val="1"/>
      <w:numFmt w:val="decimal"/>
      <w:lvlText w:val="%1.%2.%3.%4."/>
      <w:lvlJc w:val="left"/>
      <w:pPr>
        <w:tabs>
          <w:tab w:val="num" w:pos="3024"/>
        </w:tabs>
        <w:ind w:left="2952" w:hanging="648"/>
      </w:pPr>
      <w:rPr>
        <w:rFonts w:cs="Times New Roman" w:hint="default"/>
        <w:b w:val="0"/>
        <w:i w:val="0"/>
      </w:rPr>
    </w:lvl>
    <w:lvl w:ilvl="4">
      <w:start w:val="1"/>
      <w:numFmt w:val="decimal"/>
      <w:lvlText w:val="%1.%2.%3.%4.%5"/>
      <w:lvlJc w:val="left"/>
      <w:pPr>
        <w:tabs>
          <w:tab w:val="num" w:pos="3456"/>
        </w:tabs>
        <w:ind w:left="3600" w:hanging="216"/>
      </w:pPr>
      <w:rPr>
        <w:rFonts w:ascii="Times New Roman" w:hAnsi="Times New Roman" w:cs="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cs="Times New Roman" w:hint="default"/>
      </w:rPr>
    </w:lvl>
    <w:lvl w:ilvl="7">
      <w:start w:val="1"/>
      <w:numFmt w:val="decimal"/>
      <w:lvlText w:val="%1.%2.%3.%4.%5.%6.%7.%8."/>
      <w:lvlJc w:val="left"/>
      <w:pPr>
        <w:tabs>
          <w:tab w:val="num" w:pos="4464"/>
        </w:tabs>
        <w:ind w:left="4248" w:hanging="1224"/>
      </w:pPr>
      <w:rPr>
        <w:rFonts w:cs="Times New Roman" w:hint="default"/>
      </w:rPr>
    </w:lvl>
    <w:lvl w:ilvl="8">
      <w:start w:val="1"/>
      <w:numFmt w:val="decimal"/>
      <w:lvlText w:val="%1.%2.%3.%4.%5.%6.%7.%8.%9."/>
      <w:lvlJc w:val="left"/>
      <w:pPr>
        <w:tabs>
          <w:tab w:val="num" w:pos="5184"/>
        </w:tabs>
        <w:ind w:left="4824" w:hanging="1440"/>
      </w:pPr>
      <w:rPr>
        <w:rFonts w:cs="Times New Roman" w:hint="default"/>
      </w:rPr>
    </w:lvl>
  </w:abstractNum>
  <w:abstractNum w:abstractNumId="17" w15:restartNumberingAfterBreak="0">
    <w:nsid w:val="7B2C1543"/>
    <w:multiLevelType w:val="multilevel"/>
    <w:tmpl w:val="E22A2A64"/>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15:restartNumberingAfterBreak="0">
    <w:nsid w:val="7C4D71AB"/>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num w:numId="1">
    <w:abstractNumId w:val="10"/>
  </w:num>
  <w:num w:numId="2">
    <w:abstractNumId w:val="14"/>
  </w:num>
  <w:num w:numId="3">
    <w:abstractNumId w:val="11"/>
  </w:num>
  <w:num w:numId="4">
    <w:abstractNumId w:val="1"/>
  </w:num>
  <w:num w:numId="5">
    <w:abstractNumId w:val="9"/>
  </w:num>
  <w:num w:numId="6">
    <w:abstractNumId w:val="18"/>
  </w:num>
  <w:num w:numId="7">
    <w:abstractNumId w:val="3"/>
  </w:num>
  <w:num w:numId="8">
    <w:abstractNumId w:val="15"/>
  </w:num>
  <w:num w:numId="9">
    <w:abstractNumId w:val="6"/>
  </w:num>
  <w:num w:numId="10">
    <w:abstractNumId w:val="14"/>
  </w:num>
  <w:num w:numId="11">
    <w:abstractNumId w:val="13"/>
  </w:num>
  <w:num w:numId="12">
    <w:abstractNumId w:val="12"/>
  </w:num>
  <w:num w:numId="13">
    <w:abstractNumId w:val="4"/>
  </w:num>
  <w:num w:numId="14">
    <w:abstractNumId w:val="8"/>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2"/>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3D31"/>
    <w:rsid w:val="000247EF"/>
    <w:rsid w:val="000300B9"/>
    <w:rsid w:val="00034ADC"/>
    <w:rsid w:val="000364A8"/>
    <w:rsid w:val="00036978"/>
    <w:rsid w:val="00041263"/>
    <w:rsid w:val="00041788"/>
    <w:rsid w:val="00044024"/>
    <w:rsid w:val="00045121"/>
    <w:rsid w:val="00047231"/>
    <w:rsid w:val="00052F5E"/>
    <w:rsid w:val="0005590C"/>
    <w:rsid w:val="00056282"/>
    <w:rsid w:val="00060F12"/>
    <w:rsid w:val="00061CC7"/>
    <w:rsid w:val="00066981"/>
    <w:rsid w:val="00067379"/>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6C3D"/>
    <w:rsid w:val="000A7FA0"/>
    <w:rsid w:val="000B0E7C"/>
    <w:rsid w:val="000B2F8B"/>
    <w:rsid w:val="000B681C"/>
    <w:rsid w:val="000B6877"/>
    <w:rsid w:val="000C282B"/>
    <w:rsid w:val="000C509C"/>
    <w:rsid w:val="000C7A6E"/>
    <w:rsid w:val="000D09F7"/>
    <w:rsid w:val="000D0AEA"/>
    <w:rsid w:val="000D157D"/>
    <w:rsid w:val="000D3E6A"/>
    <w:rsid w:val="000D3E9D"/>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09C1"/>
    <w:rsid w:val="00111900"/>
    <w:rsid w:val="00111E67"/>
    <w:rsid w:val="00113668"/>
    <w:rsid w:val="00113A57"/>
    <w:rsid w:val="00114301"/>
    <w:rsid w:val="00114F96"/>
    <w:rsid w:val="001150AC"/>
    <w:rsid w:val="00115DBA"/>
    <w:rsid w:val="00116AAD"/>
    <w:rsid w:val="00116E61"/>
    <w:rsid w:val="001209C7"/>
    <w:rsid w:val="00135B25"/>
    <w:rsid w:val="0013627F"/>
    <w:rsid w:val="00137112"/>
    <w:rsid w:val="00137D6A"/>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690"/>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144F"/>
    <w:rsid w:val="00212EEE"/>
    <w:rsid w:val="00213D72"/>
    <w:rsid w:val="00214C84"/>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1DAD"/>
    <w:rsid w:val="002628BA"/>
    <w:rsid w:val="002648FF"/>
    <w:rsid w:val="00270B72"/>
    <w:rsid w:val="00271B22"/>
    <w:rsid w:val="002731DA"/>
    <w:rsid w:val="00274081"/>
    <w:rsid w:val="0027439B"/>
    <w:rsid w:val="00275608"/>
    <w:rsid w:val="00275730"/>
    <w:rsid w:val="00275870"/>
    <w:rsid w:val="00280715"/>
    <w:rsid w:val="00282C4C"/>
    <w:rsid w:val="002835BF"/>
    <w:rsid w:val="00283D53"/>
    <w:rsid w:val="00284AF0"/>
    <w:rsid w:val="00285B5E"/>
    <w:rsid w:val="00286CAC"/>
    <w:rsid w:val="00287907"/>
    <w:rsid w:val="002907B2"/>
    <w:rsid w:val="0029340F"/>
    <w:rsid w:val="00293B3D"/>
    <w:rsid w:val="00293D2F"/>
    <w:rsid w:val="00294318"/>
    <w:rsid w:val="00294F58"/>
    <w:rsid w:val="00295776"/>
    <w:rsid w:val="00296AB3"/>
    <w:rsid w:val="00297D67"/>
    <w:rsid w:val="002A01BD"/>
    <w:rsid w:val="002A0890"/>
    <w:rsid w:val="002A297F"/>
    <w:rsid w:val="002A384E"/>
    <w:rsid w:val="002A3B82"/>
    <w:rsid w:val="002A73FC"/>
    <w:rsid w:val="002A7E8B"/>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34AC"/>
    <w:rsid w:val="002F16A7"/>
    <w:rsid w:val="002F1802"/>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660DA"/>
    <w:rsid w:val="00370777"/>
    <w:rsid w:val="0037545A"/>
    <w:rsid w:val="00375760"/>
    <w:rsid w:val="00380334"/>
    <w:rsid w:val="00381769"/>
    <w:rsid w:val="0038297E"/>
    <w:rsid w:val="00382BCC"/>
    <w:rsid w:val="00382C18"/>
    <w:rsid w:val="003832E7"/>
    <w:rsid w:val="00384CDD"/>
    <w:rsid w:val="003853BB"/>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214B"/>
    <w:rsid w:val="0046364E"/>
    <w:rsid w:val="00464FDB"/>
    <w:rsid w:val="00465F5F"/>
    <w:rsid w:val="00467D57"/>
    <w:rsid w:val="00470ADE"/>
    <w:rsid w:val="00471785"/>
    <w:rsid w:val="00471D99"/>
    <w:rsid w:val="0047440B"/>
    <w:rsid w:val="004768F2"/>
    <w:rsid w:val="0048223A"/>
    <w:rsid w:val="00490283"/>
    <w:rsid w:val="0049303A"/>
    <w:rsid w:val="0049415C"/>
    <w:rsid w:val="00495257"/>
    <w:rsid w:val="004969DC"/>
    <w:rsid w:val="004A1D06"/>
    <w:rsid w:val="004A2ABA"/>
    <w:rsid w:val="004A308D"/>
    <w:rsid w:val="004A4FFD"/>
    <w:rsid w:val="004A5CF9"/>
    <w:rsid w:val="004A78D6"/>
    <w:rsid w:val="004B0169"/>
    <w:rsid w:val="004B162A"/>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529"/>
    <w:rsid w:val="00542761"/>
    <w:rsid w:val="005466D8"/>
    <w:rsid w:val="005477A9"/>
    <w:rsid w:val="00550866"/>
    <w:rsid w:val="00553773"/>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77925"/>
    <w:rsid w:val="005818FD"/>
    <w:rsid w:val="0058710A"/>
    <w:rsid w:val="00593F04"/>
    <w:rsid w:val="005947F6"/>
    <w:rsid w:val="00595014"/>
    <w:rsid w:val="005957F8"/>
    <w:rsid w:val="00597D26"/>
    <w:rsid w:val="005A2F7B"/>
    <w:rsid w:val="005A430B"/>
    <w:rsid w:val="005A4B67"/>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3D0"/>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1F95"/>
    <w:rsid w:val="00634133"/>
    <w:rsid w:val="006346F9"/>
    <w:rsid w:val="00635FB0"/>
    <w:rsid w:val="00642AE9"/>
    <w:rsid w:val="0064547F"/>
    <w:rsid w:val="006477F2"/>
    <w:rsid w:val="00651481"/>
    <w:rsid w:val="00654818"/>
    <w:rsid w:val="00654B29"/>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3EF"/>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327"/>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67F0B"/>
    <w:rsid w:val="007717C0"/>
    <w:rsid w:val="00771926"/>
    <w:rsid w:val="00772F74"/>
    <w:rsid w:val="0077482A"/>
    <w:rsid w:val="00776474"/>
    <w:rsid w:val="0077665D"/>
    <w:rsid w:val="007778AA"/>
    <w:rsid w:val="007803A1"/>
    <w:rsid w:val="00782D05"/>
    <w:rsid w:val="0078421B"/>
    <w:rsid w:val="00784F0F"/>
    <w:rsid w:val="00785445"/>
    <w:rsid w:val="007861E9"/>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3983"/>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446B"/>
    <w:rsid w:val="00816182"/>
    <w:rsid w:val="00816AB5"/>
    <w:rsid w:val="008208DB"/>
    <w:rsid w:val="0082291E"/>
    <w:rsid w:val="00823344"/>
    <w:rsid w:val="00825468"/>
    <w:rsid w:val="00825D4B"/>
    <w:rsid w:val="00826AE4"/>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1D5C"/>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D7C"/>
    <w:rsid w:val="008A2BAF"/>
    <w:rsid w:val="008A3C2C"/>
    <w:rsid w:val="008B08A7"/>
    <w:rsid w:val="008B1BC1"/>
    <w:rsid w:val="008B43AD"/>
    <w:rsid w:val="008B4D59"/>
    <w:rsid w:val="008C17EB"/>
    <w:rsid w:val="008C243D"/>
    <w:rsid w:val="008C330D"/>
    <w:rsid w:val="008C4B73"/>
    <w:rsid w:val="008C595A"/>
    <w:rsid w:val="008C65D1"/>
    <w:rsid w:val="008C7867"/>
    <w:rsid w:val="008D042B"/>
    <w:rsid w:val="008D14DE"/>
    <w:rsid w:val="008D2944"/>
    <w:rsid w:val="008D31F6"/>
    <w:rsid w:val="008D4860"/>
    <w:rsid w:val="008D4C17"/>
    <w:rsid w:val="008E0D3E"/>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36905"/>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018"/>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78"/>
    <w:rsid w:val="009C3AAE"/>
    <w:rsid w:val="009C4442"/>
    <w:rsid w:val="009C6343"/>
    <w:rsid w:val="009D1C01"/>
    <w:rsid w:val="009D2E9C"/>
    <w:rsid w:val="009D4110"/>
    <w:rsid w:val="009D54C0"/>
    <w:rsid w:val="009D79B0"/>
    <w:rsid w:val="009E08E2"/>
    <w:rsid w:val="009E11CF"/>
    <w:rsid w:val="009E37EB"/>
    <w:rsid w:val="009E398F"/>
    <w:rsid w:val="009E4B99"/>
    <w:rsid w:val="009E5FE4"/>
    <w:rsid w:val="009E66AB"/>
    <w:rsid w:val="009F14D6"/>
    <w:rsid w:val="009F32EC"/>
    <w:rsid w:val="009F3B5A"/>
    <w:rsid w:val="009F4F9F"/>
    <w:rsid w:val="00A009E9"/>
    <w:rsid w:val="00A012B0"/>
    <w:rsid w:val="00A019EE"/>
    <w:rsid w:val="00A050AE"/>
    <w:rsid w:val="00A051B1"/>
    <w:rsid w:val="00A06730"/>
    <w:rsid w:val="00A06D1F"/>
    <w:rsid w:val="00A07D34"/>
    <w:rsid w:val="00A125DF"/>
    <w:rsid w:val="00A14177"/>
    <w:rsid w:val="00A147C5"/>
    <w:rsid w:val="00A1749E"/>
    <w:rsid w:val="00A2201D"/>
    <w:rsid w:val="00A232E0"/>
    <w:rsid w:val="00A2485B"/>
    <w:rsid w:val="00A251DE"/>
    <w:rsid w:val="00A25259"/>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43D0"/>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1E74"/>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13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2FEA"/>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501"/>
    <w:rsid w:val="00C01958"/>
    <w:rsid w:val="00C03C80"/>
    <w:rsid w:val="00C03F0E"/>
    <w:rsid w:val="00C0451C"/>
    <w:rsid w:val="00C04C9B"/>
    <w:rsid w:val="00C05024"/>
    <w:rsid w:val="00C05221"/>
    <w:rsid w:val="00C05938"/>
    <w:rsid w:val="00C06E53"/>
    <w:rsid w:val="00C06F76"/>
    <w:rsid w:val="00C07BC8"/>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0F35"/>
    <w:rsid w:val="00C51014"/>
    <w:rsid w:val="00C52796"/>
    <w:rsid w:val="00C529E6"/>
    <w:rsid w:val="00C52B6B"/>
    <w:rsid w:val="00C536BD"/>
    <w:rsid w:val="00C53955"/>
    <w:rsid w:val="00C54A75"/>
    <w:rsid w:val="00C61AF5"/>
    <w:rsid w:val="00C65EA7"/>
    <w:rsid w:val="00C66660"/>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5BC1"/>
    <w:rsid w:val="00C9691F"/>
    <w:rsid w:val="00CA03CA"/>
    <w:rsid w:val="00CA1613"/>
    <w:rsid w:val="00CA4831"/>
    <w:rsid w:val="00CA4A89"/>
    <w:rsid w:val="00CB5DA2"/>
    <w:rsid w:val="00CB6352"/>
    <w:rsid w:val="00CB6BB2"/>
    <w:rsid w:val="00CB743D"/>
    <w:rsid w:val="00CC0504"/>
    <w:rsid w:val="00CC1AA5"/>
    <w:rsid w:val="00CC2A51"/>
    <w:rsid w:val="00CC2AE6"/>
    <w:rsid w:val="00CC440E"/>
    <w:rsid w:val="00CC5F46"/>
    <w:rsid w:val="00CC7CE8"/>
    <w:rsid w:val="00CC7E3E"/>
    <w:rsid w:val="00CD225D"/>
    <w:rsid w:val="00CD4449"/>
    <w:rsid w:val="00CD766C"/>
    <w:rsid w:val="00CE2EB4"/>
    <w:rsid w:val="00CE4B83"/>
    <w:rsid w:val="00CE6B67"/>
    <w:rsid w:val="00CE75DB"/>
    <w:rsid w:val="00CF03FB"/>
    <w:rsid w:val="00CF0AAE"/>
    <w:rsid w:val="00CF0C11"/>
    <w:rsid w:val="00CF11C0"/>
    <w:rsid w:val="00CF34B1"/>
    <w:rsid w:val="00CF3723"/>
    <w:rsid w:val="00CF3D3F"/>
    <w:rsid w:val="00CF61BB"/>
    <w:rsid w:val="00CF648F"/>
    <w:rsid w:val="00D02FD4"/>
    <w:rsid w:val="00D05B29"/>
    <w:rsid w:val="00D07095"/>
    <w:rsid w:val="00D07A91"/>
    <w:rsid w:val="00D10C9C"/>
    <w:rsid w:val="00D122CF"/>
    <w:rsid w:val="00D13C8B"/>
    <w:rsid w:val="00D147D8"/>
    <w:rsid w:val="00D16C97"/>
    <w:rsid w:val="00D2147F"/>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65EF"/>
    <w:rsid w:val="00D94725"/>
    <w:rsid w:val="00D95B09"/>
    <w:rsid w:val="00D9659B"/>
    <w:rsid w:val="00D97B2E"/>
    <w:rsid w:val="00D97E2A"/>
    <w:rsid w:val="00DA0136"/>
    <w:rsid w:val="00DA0607"/>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986"/>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620B"/>
    <w:rsid w:val="00E17C3A"/>
    <w:rsid w:val="00E20296"/>
    <w:rsid w:val="00E2064C"/>
    <w:rsid w:val="00E20772"/>
    <w:rsid w:val="00E2325E"/>
    <w:rsid w:val="00E23553"/>
    <w:rsid w:val="00E23800"/>
    <w:rsid w:val="00E264E6"/>
    <w:rsid w:val="00E2658B"/>
    <w:rsid w:val="00E26D75"/>
    <w:rsid w:val="00E3177C"/>
    <w:rsid w:val="00E32618"/>
    <w:rsid w:val="00E331FE"/>
    <w:rsid w:val="00E35614"/>
    <w:rsid w:val="00E35EA1"/>
    <w:rsid w:val="00E36063"/>
    <w:rsid w:val="00E37C12"/>
    <w:rsid w:val="00E37D78"/>
    <w:rsid w:val="00E4114E"/>
    <w:rsid w:val="00E411DD"/>
    <w:rsid w:val="00E41E78"/>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3F0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2461"/>
    <w:rsid w:val="00EE38A2"/>
    <w:rsid w:val="00EE5AE0"/>
    <w:rsid w:val="00EE788E"/>
    <w:rsid w:val="00EF0ADE"/>
    <w:rsid w:val="00EF3DFB"/>
    <w:rsid w:val="00EF41BF"/>
    <w:rsid w:val="00EF65D5"/>
    <w:rsid w:val="00EF6EC6"/>
    <w:rsid w:val="00F00400"/>
    <w:rsid w:val="00F0156D"/>
    <w:rsid w:val="00F018D3"/>
    <w:rsid w:val="00F019DB"/>
    <w:rsid w:val="00F0254B"/>
    <w:rsid w:val="00F02785"/>
    <w:rsid w:val="00F02E8F"/>
    <w:rsid w:val="00F0365C"/>
    <w:rsid w:val="00F05324"/>
    <w:rsid w:val="00F06AE2"/>
    <w:rsid w:val="00F07D80"/>
    <w:rsid w:val="00F1153F"/>
    <w:rsid w:val="00F12270"/>
    <w:rsid w:val="00F131F4"/>
    <w:rsid w:val="00F13E3F"/>
    <w:rsid w:val="00F14548"/>
    <w:rsid w:val="00F1793D"/>
    <w:rsid w:val="00F17A3D"/>
    <w:rsid w:val="00F201E1"/>
    <w:rsid w:val="00F21602"/>
    <w:rsid w:val="00F218F3"/>
    <w:rsid w:val="00F21A0F"/>
    <w:rsid w:val="00F25102"/>
    <w:rsid w:val="00F25FED"/>
    <w:rsid w:val="00F26B84"/>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2FBD"/>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648987"/>
  <w15:docId w15:val="{F48DC1C7-52B3-466D-A046-62C52AA1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9415C"/>
    <w:pPr>
      <w:numPr>
        <w:numId w:val="1"/>
      </w:numPr>
      <w:autoSpaceDE/>
      <w:autoSpaceDN/>
      <w:adjustRightInd/>
      <w:spacing w:after="120"/>
      <w:contextualSpacing w:val="0"/>
    </w:pPr>
    <w:rPr>
      <w:rFonts w:ascii="Times New Roman" w:hAnsi="Times New Roman" w:cs="Times New Roman"/>
      <w:color w:val="auto"/>
    </w:rPr>
  </w:style>
  <w:style w:type="character" w:customStyle="1" w:styleId="BoxText">
    <w:name w:val="Box Text"/>
    <w:basedOn w:val="DefaultParagraphFont"/>
    <w:rsid w:val="0049415C"/>
    <w:rPr>
      <w:rFonts w:ascii="Arial" w:hAnsi="Arial"/>
      <w:b/>
      <w:sz w:val="20"/>
    </w:rPr>
  </w:style>
  <w:style w:type="paragraph" w:styleId="List2">
    <w:name w:val="List 2"/>
    <w:basedOn w:val="Normal"/>
    <w:uiPriority w:val="99"/>
    <w:semiHidden/>
    <w:unhideWhenUsed/>
    <w:rsid w:val="0049415C"/>
    <w:pPr>
      <w:ind w:left="720" w:hanging="360"/>
      <w:contextualSpacing/>
    </w:pPr>
  </w:style>
  <w:style w:type="paragraph" w:customStyle="1" w:styleId="Measure">
    <w:name w:val="Measure"/>
    <w:basedOn w:val="Requirement"/>
    <w:rsid w:val="0049415C"/>
    <w:pPr>
      <w:numPr>
        <w:numId w:val="2"/>
      </w:numPr>
      <w:tabs>
        <w:tab w:val="left" w:pos="936"/>
      </w:tabs>
    </w:pPr>
  </w:style>
  <w:style w:type="paragraph" w:customStyle="1" w:styleId="Section">
    <w:name w:val="Section"/>
    <w:basedOn w:val="Normal"/>
    <w:next w:val="ListNumber"/>
    <w:uiPriority w:val="99"/>
    <w:rsid w:val="006953EF"/>
    <w:pPr>
      <w:numPr>
        <w:numId w:val="16"/>
      </w:numPr>
      <w:tabs>
        <w:tab w:val="left" w:pos="1080"/>
      </w:tabs>
      <w:autoSpaceDE/>
      <w:autoSpaceDN/>
      <w:adjustRightInd/>
      <w:spacing w:after="120"/>
    </w:pPr>
    <w:rPr>
      <w:rFonts w:cs="Times New Roman"/>
      <w:b/>
      <w:color w:val="auto"/>
    </w:rPr>
  </w:style>
  <w:style w:type="paragraph" w:styleId="ListNumber">
    <w:name w:val="List Number"/>
    <w:basedOn w:val="Normal"/>
    <w:rsid w:val="006953EF"/>
    <w:pPr>
      <w:numPr>
        <w:numId w:val="15"/>
      </w:numPr>
      <w:tabs>
        <w:tab w:val="left" w:pos="2160"/>
      </w:tabs>
      <w:autoSpaceDE/>
      <w:autoSpaceDN/>
      <w:adjustRightInd/>
      <w:spacing w:after="120"/>
    </w:pPr>
    <w:rPr>
      <w:rFonts w:ascii="Times New Roman" w:hAnsi="Times New Roman" w:cs="Times New Roman"/>
      <w:color w:val="auto"/>
    </w:rPr>
  </w:style>
  <w:style w:type="paragraph" w:customStyle="1" w:styleId="BodyIndent2">
    <w:name w:val="Body Indent 2"/>
    <w:basedOn w:val="Normal"/>
    <w:rsid w:val="006953EF"/>
    <w:pPr>
      <w:autoSpaceDE/>
      <w:autoSpaceDN/>
      <w:adjustRightInd/>
      <w:spacing w:after="120"/>
      <w:ind w:left="1440"/>
    </w:pPr>
    <w:rPr>
      <w:rFonts w:ascii="Times New Roman" w:hAnsi="Times New Roman" w:cs="Times New Roman"/>
      <w:color w:val="auto"/>
    </w:rPr>
  </w:style>
  <w:style w:type="paragraph" w:customStyle="1" w:styleId="Table">
    <w:name w:val="Table"/>
    <w:basedOn w:val="Normal"/>
    <w:rsid w:val="006953EF"/>
    <w:pPr>
      <w:autoSpaceDE/>
      <w:autoSpaceDN/>
      <w:adjustRightInd/>
      <w:spacing w:before="60" w:after="60"/>
    </w:pPr>
    <w:rPr>
      <w:rFonts w:ascii="Times New Roman" w:hAnsi="Times New Roman" w:cs="Times New Roman"/>
      <w:b/>
      <w:color w:val="auto"/>
      <w:szCs w:val="22"/>
    </w:rPr>
  </w:style>
  <w:style w:type="paragraph" w:styleId="ListBullet2">
    <w:name w:val="List Bullet 2"/>
    <w:basedOn w:val="Normal"/>
    <w:rsid w:val="006953EF"/>
    <w:pPr>
      <w:numPr>
        <w:ilvl w:val="1"/>
        <w:numId w:val="18"/>
      </w:numPr>
      <w:autoSpaceDE/>
      <w:autoSpaceDN/>
      <w:adjustRightInd/>
      <w:spacing w:after="120"/>
    </w:pPr>
    <w:rPr>
      <w:rFonts w:ascii="Times New Roman" w:hAnsi="Times New Roman" w:cs="Times New Roman"/>
      <w:color w:val="auto"/>
      <w:sz w:val="22"/>
    </w:rPr>
  </w:style>
  <w:style w:type="character" w:customStyle="1" w:styleId="FERCparanumberChar">
    <w:name w:val="FERC paranumber Char"/>
    <w:link w:val="FERCparanumber"/>
    <w:rsid w:val="008E0D3E"/>
    <w:rPr>
      <w:sz w:val="26"/>
    </w:rPr>
  </w:style>
  <w:style w:type="paragraph" w:customStyle="1" w:styleId="FERCparanumber">
    <w:name w:val="FERC paranumber"/>
    <w:basedOn w:val="Normal"/>
    <w:link w:val="FERCparanumberChar"/>
    <w:rsid w:val="008E0D3E"/>
    <w:pPr>
      <w:tabs>
        <w:tab w:val="num" w:pos="720"/>
      </w:tabs>
      <w:spacing w:after="240"/>
    </w:pPr>
    <w:rPr>
      <w:rFonts w:asciiTheme="minorHAnsi" w:hAnsiTheme="minorHAnsi" w:cs="Times New Roman"/>
      <w:sz w:val="26"/>
    </w:rPr>
  </w:style>
  <w:style w:type="paragraph" w:styleId="PlainText">
    <w:name w:val="Plain Text"/>
    <w:basedOn w:val="Normal"/>
    <w:link w:val="PlainTextChar"/>
    <w:uiPriority w:val="99"/>
    <w:semiHidden/>
    <w:unhideWhenUsed/>
    <w:rsid w:val="008E0D3E"/>
    <w:pPr>
      <w:autoSpaceDE/>
      <w:autoSpaceDN/>
      <w:adjustRightInd/>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8E0D3E"/>
    <w:rPr>
      <w:rFonts w:ascii="Calibri" w:eastAsiaTheme="minorHAnsi" w:hAnsi="Calibri" w:cs="Consolas"/>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nerc.com/FilingsOrders/us/FERCOrdersRules/ORDER%2069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erc.com/FilingsOrders/us/FERCOrdersRules/INT%20Letter%20Order.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2069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Order%20on%20SER%20Retirements.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INT-009-3</Number>
    <Date xmlns="078344ff-8d50-4bff-90aa-a5f449462ba4">2021-03-18T04:00:00+00:00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6EC6B-CC1D-4C8B-98D5-7BA7E2F2CF7A}">
  <ds:schemaRefs>
    <ds:schemaRef ds:uri="http://schemas.microsoft.com/sharepoint/v3/contenttype/forms"/>
  </ds:schemaRefs>
</ds:datastoreItem>
</file>

<file path=customXml/itemProps2.xml><?xml version="1.0" encoding="utf-8"?>
<ds:datastoreItem xmlns:ds="http://schemas.openxmlformats.org/officeDocument/2006/customXml" ds:itemID="{9F01F1C1-E88E-420E-997D-67CB1FE87C19}">
  <ds:schemaRefs>
    <ds:schemaRef ds:uri="http://schemas.microsoft.com/office/2006/metadata/properties"/>
    <ds:schemaRef ds:uri="http://schemas.microsoft.com/office/2006/documentManagement/types"/>
    <ds:schemaRef ds:uri="http://schemas.microsoft.com/office/infopath/2007/PartnerControls"/>
    <ds:schemaRef ds:uri="d255dc3e-053e-4b62-8283-68abfc61cdbb"/>
    <ds:schemaRef ds:uri="http://purl.org/dc/dcmitype/"/>
    <ds:schemaRef ds:uri="http://purl.org/dc/elements/1.1/"/>
    <ds:schemaRef ds:uri="http://www.w3.org/XML/1998/namespace"/>
    <ds:schemaRef ds:uri="078344ff-8d50-4bff-90aa-a5f449462ba4"/>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7734744-6901-4768-8C2E-0AE9B28B2E4C}">
  <ds:schemaRefs>
    <ds:schemaRef ds:uri="http://schemas.microsoft.com/office/2006/customDocumentInformationPanel"/>
  </ds:schemaRefs>
</ds:datastoreItem>
</file>

<file path=customXml/itemProps4.xml><?xml version="1.0" encoding="utf-8"?>
<ds:datastoreItem xmlns:ds="http://schemas.openxmlformats.org/officeDocument/2006/customXml" ds:itemID="{465BE0D6-2AB9-445D-878F-192A0B461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74393A-EB4D-457C-94FC-DA4727AB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1150</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Implementation of Interchange</vt:lpstr>
    </vt:vector>
  </TitlesOfParts>
  <Company>North American Electric Reliability Corporation</Company>
  <LinksUpToDate>false</LinksUpToDate>
  <CharactersWithSpaces>9064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Interchange</dc:title>
  <dc:creator>Ed Kichline</dc:creator>
  <cp:lastModifiedBy>Ryan Mauldin</cp:lastModifiedBy>
  <cp:revision>4</cp:revision>
  <dcterms:created xsi:type="dcterms:W3CDTF">2021-03-08T22:16:00Z</dcterms:created>
  <dcterms:modified xsi:type="dcterms:W3CDTF">2021-03-16T14:56:00Z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eb754a08-a6e3-4bb5-b968-f6d6d81bba83</vt:lpwstr>
  </property>
  <property fmtid="{D5CDD505-2E9C-101B-9397-08002B2CF9AE}" pid="4" name="TemplateUrl">
    <vt:lpwstr/>
  </property>
  <property fmtid="{D5CDD505-2E9C-101B-9397-08002B2CF9AE}" pid="5" name="Order">
    <vt:r8>37600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