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627A4" w14:textId="1DD20694" w:rsidR="00077918" w:rsidRPr="005D193A" w:rsidRDefault="00FF701A" w:rsidP="005D193A">
      <w:pPr>
        <w:pStyle w:val="DocumentSubtitle"/>
        <w:rPr>
          <w:szCs w:val="32"/>
        </w:rPr>
      </w:pPr>
      <w:bookmarkStart w:id="0" w:name="_Toc195946478"/>
      <w:r w:rsidRPr="00FC613F">
        <w:rPr>
          <w:b/>
          <w:bCs/>
          <w:sz w:val="44"/>
          <w:szCs w:val="44"/>
        </w:rPr>
        <w:t>Unofficial Nomination Form</w:t>
      </w:r>
      <w:r w:rsidRPr="00FC613F">
        <w:rPr>
          <w:b/>
          <w:bCs/>
          <w:sz w:val="44"/>
          <w:szCs w:val="44"/>
        </w:rPr>
        <w:br/>
      </w:r>
      <w:r w:rsidR="005D193A" w:rsidRPr="000304FB">
        <w:rPr>
          <w:szCs w:val="32"/>
        </w:rPr>
        <w:t xml:space="preserve">Project </w:t>
      </w:r>
      <w:r w:rsidR="005D193A">
        <w:rPr>
          <w:szCs w:val="32"/>
        </w:rPr>
        <w:t xml:space="preserve">2020-06 </w:t>
      </w:r>
      <w:r w:rsidR="005D193A" w:rsidRPr="009977CA">
        <w:t>Verification of Models and Data for Generators</w:t>
      </w:r>
    </w:p>
    <w:p w14:paraId="4338961C" w14:textId="45D010ED" w:rsidR="00FD1345" w:rsidRDefault="00FF701A" w:rsidP="00FF701A">
      <w:pPr>
        <w:pStyle w:val="DocumentTitle"/>
        <w:rPr>
          <w:rFonts w:ascii="Verdana" w:hAnsi="Verdana"/>
          <w:sz w:val="24"/>
        </w:rPr>
      </w:pPr>
      <w:r>
        <w:rPr>
          <w:b w:val="0"/>
          <w:sz w:val="32"/>
          <w:szCs w:val="32"/>
        </w:rPr>
        <w:t xml:space="preserve">Drafting Team </w:t>
      </w:r>
      <w:r w:rsidR="0000166A" w:rsidRPr="00833311">
        <w:rPr>
          <w:b w:val="0"/>
          <w:sz w:val="36"/>
          <w:szCs w:val="36"/>
        </w:rPr>
        <w:br/>
      </w:r>
    </w:p>
    <w:p w14:paraId="2D7BBF79" w14:textId="77777777" w:rsidR="00FC613F" w:rsidRDefault="00FC613F" w:rsidP="00FC613F">
      <w:pPr>
        <w:pStyle w:val="Heading1"/>
      </w:pPr>
      <w:r>
        <w:t>Submitting Nominations</w:t>
      </w:r>
    </w:p>
    <w:p w14:paraId="7F6D5EB8" w14:textId="510D1590" w:rsidR="00FC613F" w:rsidRPr="0036300A" w:rsidRDefault="00FC613F" w:rsidP="00FC613F">
      <w:pPr>
        <w:rPr>
          <w:bCs/>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2" w:history="1">
        <w:r w:rsidRPr="002479FE">
          <w:rPr>
            <w:rStyle w:val="Hyperlink"/>
          </w:rPr>
          <w:t>electronic form</w:t>
        </w:r>
      </w:hyperlink>
      <w:r>
        <w:rPr>
          <w:rFonts w:cs="Arial"/>
        </w:rPr>
        <w:t xml:space="preserve"> to submit nominations for supplemental drafting team members by </w:t>
      </w:r>
      <w:r>
        <w:rPr>
          <w:rStyle w:val="Strong"/>
          <w:rFonts w:ascii="Calibri" w:hAnsi="Calibri" w:cs="Arial"/>
        </w:rPr>
        <w:t xml:space="preserve">8:00 </w:t>
      </w:r>
      <w:r w:rsidRPr="000D6EA8">
        <w:rPr>
          <w:rStyle w:val="Strong"/>
          <w:rFonts w:ascii="Calibri" w:hAnsi="Calibri" w:cs="Arial"/>
        </w:rPr>
        <w:t>p.m. Eastern,</w:t>
      </w:r>
      <w:r>
        <w:rPr>
          <w:rStyle w:val="Strong"/>
          <w:rFonts w:ascii="Calibri" w:hAnsi="Calibri" w:cs="Arial"/>
        </w:rPr>
        <w:t xml:space="preserve"> Wednesday, June 26, 2024</w:t>
      </w:r>
      <w:r w:rsidRPr="000D6EA8">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46CE3284" w14:textId="77777777" w:rsidR="00FC613F" w:rsidRDefault="00FC613F" w:rsidP="00F26EA1">
      <w:pPr>
        <w:pStyle w:val="Heading1"/>
      </w:pPr>
    </w:p>
    <w:p w14:paraId="4338961D" w14:textId="02FD345B" w:rsidR="004A60CD" w:rsidRDefault="00447F09" w:rsidP="00F26EA1">
      <w:pPr>
        <w:pStyle w:val="Heading1"/>
        <w:rPr>
          <w:rFonts w:cs="Arial"/>
        </w:rPr>
      </w:pPr>
      <w:r>
        <w:t>General Information</w:t>
      </w:r>
    </w:p>
    <w:p w14:paraId="57871282" w14:textId="36EBF2F4" w:rsidR="004B35EF" w:rsidRPr="00816016" w:rsidRDefault="004B35EF" w:rsidP="00FC613F">
      <w:pPr>
        <w:ind w:right="-72"/>
        <w:rPr>
          <w:rFonts w:cs="Arial"/>
        </w:rPr>
      </w:pPr>
      <w:r>
        <w:t xml:space="preserve">Additional information is available on the </w:t>
      </w:r>
      <w:hyperlink r:id="rId13" w:history="1">
        <w:r w:rsidR="00984B92" w:rsidRPr="00104459">
          <w:rPr>
            <w:rStyle w:val="Hyperlink"/>
          </w:rPr>
          <w:t>project page</w:t>
        </w:r>
      </w:hyperlink>
      <w:r w:rsidRPr="000D6EA8">
        <w:rPr>
          <w:rStyle w:val="Hyperlink"/>
          <w:u w:val="none"/>
        </w:rPr>
        <w:t>.</w:t>
      </w:r>
      <w:r>
        <w:t xml:space="preserve"> </w:t>
      </w:r>
      <w:r w:rsidRPr="00786AD7">
        <w:t>If you have questions</w:t>
      </w:r>
      <w:r>
        <w:t xml:space="preserve">, </w:t>
      </w:r>
      <w:r w:rsidRPr="00C74DBC">
        <w:t>contact</w:t>
      </w:r>
      <w:r>
        <w:t xml:space="preserve"> Manager of Standards Development, </w:t>
      </w:r>
      <w:hyperlink r:id="rId14" w:history="1">
        <w:r w:rsidRPr="00E80192">
          <w:rPr>
            <w:rStyle w:val="Hyperlink"/>
          </w:rPr>
          <w:t>Jamie Calderon</w:t>
        </w:r>
      </w:hyperlink>
      <w:r w:rsidRPr="00F86A52">
        <w:t xml:space="preserve"> (via email)</w:t>
      </w:r>
      <w:r>
        <w:t>,</w:t>
      </w:r>
      <w:r w:rsidRPr="00F86A52">
        <w:t xml:space="preserve"> or at </w:t>
      </w:r>
      <w:bookmarkStart w:id="1" w:name="_Hlk166681708"/>
      <w:r>
        <w:t>404-960-0568</w:t>
      </w:r>
      <w:bookmarkEnd w:id="1"/>
      <w:r>
        <w:t>.</w:t>
      </w:r>
    </w:p>
    <w:p w14:paraId="4338961F" w14:textId="77777777" w:rsidR="00816016" w:rsidRDefault="00816016" w:rsidP="00816016">
      <w:pPr>
        <w:rPr>
          <w:rFonts w:ascii="Verdana" w:hAnsi="Verdana" w:cs="Arial"/>
          <w:sz w:val="18"/>
          <w:szCs w:val="18"/>
        </w:rPr>
      </w:pPr>
    </w:p>
    <w:p w14:paraId="43389624" w14:textId="4756A59F" w:rsidR="002B29E4" w:rsidRDefault="0062446B" w:rsidP="00FC613F">
      <w:pPr>
        <w:ind w:left="-5" w:right="-72"/>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447F09">
        <w:rPr>
          <w:color w:val="000000"/>
        </w:rPr>
        <w:t xml:space="preserve">quality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Default="00816016" w:rsidP="00816016">
      <w:pPr>
        <w:rPr>
          <w:rFonts w:ascii="Verdana" w:hAnsi="Verdana" w:cs="Arial"/>
          <w:sz w:val="20"/>
        </w:rPr>
      </w:pPr>
    </w:p>
    <w:p w14:paraId="0162974E" w14:textId="426C1167" w:rsidR="00447F09" w:rsidRPr="00F26EA1" w:rsidRDefault="00447F09" w:rsidP="00F26EA1">
      <w:pPr>
        <w:pStyle w:val="Heading1"/>
        <w:rPr>
          <w:rStyle w:val="BoxText"/>
          <w:rFonts w:asciiTheme="minorHAnsi" w:hAnsiTheme="minorHAnsi" w:cs="Arial"/>
          <w:b/>
          <w:bCs w:val="0"/>
          <w:sz w:val="24"/>
        </w:rPr>
      </w:pPr>
      <w:r w:rsidRPr="00A86876">
        <w:rPr>
          <w:rStyle w:val="BoxText"/>
          <w:rFonts w:ascii="Tahoma" w:hAnsi="Tahoma"/>
          <w:b/>
          <w:sz w:val="28"/>
        </w:rPr>
        <w:t>Project Information</w:t>
      </w:r>
      <w:r w:rsidR="00816016" w:rsidRPr="00F26EA1">
        <w:rPr>
          <w:rStyle w:val="BoxText"/>
          <w:rFonts w:ascii="Tahoma" w:hAnsi="Tahoma"/>
          <w:sz w:val="28"/>
          <w:highlight w:val="yellow"/>
        </w:rPr>
        <w:br/>
      </w:r>
      <w:r w:rsidRPr="00F26EA1">
        <w:rPr>
          <w:sz w:val="22"/>
        </w:rPr>
        <w:t>Project Purpose</w:t>
      </w:r>
    </w:p>
    <w:p w14:paraId="50960C33" w14:textId="09E41161" w:rsidR="00F16B2C" w:rsidRPr="00B233F6" w:rsidRDefault="00F16B2C" w:rsidP="00FC613F">
      <w:pPr>
        <w:ind w:right="-72"/>
        <w:rPr>
          <w:rFonts w:ascii="Calibri" w:hAnsi="Calibri"/>
        </w:rPr>
      </w:pPr>
      <w:bookmarkStart w:id="2" w:name="_Toc195946482"/>
      <w:r w:rsidRPr="00B233F6">
        <w:rPr>
          <w:rFonts w:ascii="Calibri" w:hAnsi="Calibri"/>
        </w:rPr>
        <w:t>FERC Order No. 901 – Milestone 3, Part 2: IBR Model Validation SAR addresses regulatory directives from NERC Standards Development Work Plan to respond to FERC Order No. 901. This SAR is intended to establish new or revised Reliability Standards to address FERC Order No. 901 directives related to modeling validation (and verification) activities by utilizing actual performance data, including performance of IBR performance during a disturbance. This will help ensure the facility’s model(s) reflect(s) the in-service equipment throughout the lifecycle of the IBR facility. NERC must file the Reliability Standards or definitions developed under Milestone 3 by November 4, 2025.</w:t>
      </w:r>
    </w:p>
    <w:p w14:paraId="275ED75F" w14:textId="77777777" w:rsidR="00F16B2C" w:rsidRPr="00B233F6" w:rsidRDefault="00F16B2C" w:rsidP="00F16B2C">
      <w:pPr>
        <w:rPr>
          <w:rFonts w:ascii="Calibri" w:hAnsi="Calibri"/>
        </w:rPr>
      </w:pPr>
    </w:p>
    <w:p w14:paraId="7C791EFD" w14:textId="00997C4C" w:rsidR="00F16B2C" w:rsidRPr="00B233F6" w:rsidRDefault="00F16B2C" w:rsidP="00FC613F">
      <w:pPr>
        <w:ind w:right="-72"/>
        <w:rPr>
          <w:rFonts w:ascii="Calibri" w:hAnsi="Calibri"/>
        </w:rPr>
      </w:pPr>
      <w:r w:rsidRPr="00B233F6">
        <w:rPr>
          <w:rFonts w:ascii="Calibri" w:hAnsi="Calibri"/>
        </w:rPr>
        <w:t xml:space="preserve">As this SAR includes anticipated revisions to  model validation for IBR, NERC recommends it be assigned to Project 2020-06 Verifications of Models and Data for Generators. The drafting team will need to prioritize changes for this SAR over currently assigned SARs to remove IBR from MOD-026 and MOD-027 as this holistic approach includes some form of ongoing quality review and corrections based on new performance-based validation. This is necessary to prevent duplicative model validation requirements that do not align with the performance-based objectives of the regulatory directives. A second phase proposed by this SAR to incorporate the uniform model framework revisions into FAC-002 to assure a consistent </w:t>
      </w:r>
      <w:r w:rsidR="00F22B52" w:rsidRPr="00B233F6">
        <w:rPr>
          <w:rFonts w:ascii="Calibri" w:hAnsi="Calibri"/>
        </w:rPr>
        <w:t>holistic</w:t>
      </w:r>
      <w:r w:rsidRPr="00B233F6">
        <w:rPr>
          <w:rFonts w:ascii="Calibri" w:hAnsi="Calibri"/>
        </w:rPr>
        <w:t xml:space="preserve"> approach for model data sharing is established throughout the lifespan of IBR. As regulatory directives included within this SAR must be addressed in revisions to Reliability Standards that must be filed with FERC by November, 2025, NERC also recommends that this project remain prioritized as a High Priority project. No waivers to the Standard Processes Manual are being requested at this time. </w:t>
      </w:r>
    </w:p>
    <w:p w14:paraId="4DA6DB0D" w14:textId="77777777" w:rsidR="00F16B2C" w:rsidRPr="00B233F6" w:rsidRDefault="00F16B2C" w:rsidP="00F16B2C">
      <w:pPr>
        <w:rPr>
          <w:rFonts w:ascii="Calibri" w:hAnsi="Calibri"/>
        </w:rPr>
      </w:pPr>
    </w:p>
    <w:p w14:paraId="152E6767" w14:textId="21115B6B" w:rsidR="00F16B2C" w:rsidRDefault="00F16B2C" w:rsidP="00F16B2C">
      <w:pPr>
        <w:rPr>
          <w:rFonts w:ascii="Calibri" w:hAnsi="Calibri"/>
        </w:rPr>
      </w:pPr>
      <w:r w:rsidRPr="00B233F6">
        <w:rPr>
          <w:rFonts w:ascii="Calibri" w:hAnsi="Calibri"/>
        </w:rPr>
        <w:lastRenderedPageBreak/>
        <w:t xml:space="preserve">At the July 21, 2021 meeting, the Standards Committee accepted the </w:t>
      </w:r>
      <w:r w:rsidR="00F22B52" w:rsidRPr="00B233F6">
        <w:rPr>
          <w:rFonts w:ascii="Calibri" w:hAnsi="Calibri"/>
        </w:rPr>
        <w:t>original</w:t>
      </w:r>
      <w:r w:rsidRPr="00B233F6">
        <w:rPr>
          <w:rFonts w:ascii="Calibri" w:hAnsi="Calibri"/>
        </w:rPr>
        <w:t xml:space="preserve"> SAR assigned to Project 2020-06 Verifications of Models and Data for Generators. The drafting team has only proposed revisions to MOD-026 at this time. The initial draft was posted May 20, 2022 through July 6, 2022. An additional draft was posted November 21, 2022 through January 18, 2023. Another additional draft was posted June 7, 2023 through July 21, 2023. The drafting team has also posted new definitions for IBRs to assure alignment between other 901-related projects. The drafting team will post one more draft of revisions before being assigned this SAR and moving forward with revisions.</w:t>
      </w:r>
    </w:p>
    <w:bookmarkEnd w:id="2"/>
    <w:p w14:paraId="3041A08D" w14:textId="77777777" w:rsidR="00F16B2C" w:rsidRDefault="00F16B2C" w:rsidP="00F16B2C">
      <w:pPr>
        <w:rPr>
          <w:rFonts w:ascii="Calibri" w:hAnsi="Calibri"/>
        </w:rPr>
      </w:pPr>
    </w:p>
    <w:p w14:paraId="43389627" w14:textId="0C3C795E" w:rsidR="00E24246" w:rsidRDefault="00F16B2C" w:rsidP="00F16B2C">
      <w:pPr>
        <w:rPr>
          <w:rFonts w:cs="Tahoma"/>
        </w:rPr>
      </w:pPr>
      <w:r>
        <w:rPr>
          <w:rStyle w:val="normaltextrun"/>
          <w:rFonts w:ascii="Calibri" w:hAnsi="Calibri" w:cs="Calibri"/>
          <w:b/>
          <w:bCs/>
          <w:color w:val="000000"/>
          <w:u w:val="single"/>
          <w:shd w:val="clear" w:color="auto" w:fill="FFFFFF"/>
        </w:rPr>
        <w:t>This project has been identified as higher priority at this time</w:t>
      </w:r>
      <w:r>
        <w:rPr>
          <w:rStyle w:val="normaltextrun"/>
          <w:rFonts w:ascii="Calibri" w:hAnsi="Calibri" w:cs="Calibri"/>
          <w:color w:val="000000"/>
          <w:u w:val="single"/>
          <w:shd w:val="clear" w:color="auto" w:fill="FFFFFF"/>
        </w:rPr>
        <w:t xml:space="preserve">. </w:t>
      </w:r>
      <w:r>
        <w:rPr>
          <w:rStyle w:val="normaltextrun"/>
          <w:rFonts w:ascii="Calibri" w:hAnsi="Calibri" w:cs="Calibri"/>
          <w:color w:val="000000"/>
          <w:shd w:val="clear" w:color="auto" w:fill="FFFFFF"/>
        </w:rPr>
        <w:t>This project has a FERC deadline under Milestone 3 of</w:t>
      </w:r>
      <w:r w:rsidR="001C2713">
        <w:rPr>
          <w:rStyle w:val="normaltextrun"/>
          <w:rFonts w:ascii="Calibri" w:hAnsi="Calibri" w:cs="Calibri"/>
          <w:color w:val="000000"/>
          <w:shd w:val="clear" w:color="auto" w:fill="FFFFFF"/>
        </w:rPr>
        <w:t xml:space="preserve"> FERC Order No. 901 to file new or modified Reliability Standards by</w:t>
      </w:r>
      <w:r>
        <w:rPr>
          <w:rStyle w:val="normaltextrun"/>
          <w:rFonts w:ascii="Calibri" w:hAnsi="Calibri" w:cs="Calibri"/>
          <w:color w:val="000000"/>
          <w:shd w:val="clear" w:color="auto" w:fill="FFFFFF"/>
        </w:rPr>
        <w:t xml:space="preserve"> November 4, 2025. </w:t>
      </w:r>
      <w:r>
        <w:rPr>
          <w:rStyle w:val="eop"/>
          <w:rFonts w:ascii="Calibri" w:hAnsi="Calibri" w:cs="Calibri"/>
          <w:color w:val="000000"/>
          <w:shd w:val="clear" w:color="auto" w:fill="FFFFFF"/>
        </w:rPr>
        <w:t> </w:t>
      </w:r>
    </w:p>
    <w:p w14:paraId="13C921DB" w14:textId="77777777" w:rsidR="00F16B2C" w:rsidRPr="00F16B2C" w:rsidRDefault="00F16B2C" w:rsidP="00F16B2C">
      <w:pPr>
        <w:rPr>
          <w:rFonts w:ascii="Calibri" w:hAnsi="Calibri"/>
        </w:rPr>
      </w:pPr>
    </w:p>
    <w:p w14:paraId="43389628" w14:textId="135B8076" w:rsidR="00476B91" w:rsidRPr="00476B91" w:rsidRDefault="00476B91" w:rsidP="00476B91">
      <w:pPr>
        <w:shd w:val="clear" w:color="auto" w:fill="FFFFFF"/>
        <w:ind w:left="1" w:right="2"/>
      </w:pPr>
      <w:r w:rsidRPr="00F26EA1">
        <w:rPr>
          <w:rStyle w:val="Heading2Char"/>
        </w:rPr>
        <w:t>Standard</w:t>
      </w:r>
      <w:r w:rsidR="00FE2A04">
        <w:rPr>
          <w:rStyle w:val="Heading2Char"/>
        </w:rPr>
        <w:t>(</w:t>
      </w:r>
      <w:r w:rsidRPr="00F26EA1">
        <w:rPr>
          <w:rStyle w:val="Heading2Char"/>
        </w:rPr>
        <w:t>s</w:t>
      </w:r>
      <w:r w:rsidR="00FE2A04">
        <w:rPr>
          <w:rStyle w:val="Heading2Char"/>
        </w:rPr>
        <w:t>)</w:t>
      </w:r>
      <w:r w:rsidRPr="00F26EA1">
        <w:rPr>
          <w:rStyle w:val="Heading2Char"/>
        </w:rPr>
        <w:t xml:space="preserve"> </w:t>
      </w:r>
      <w:r w:rsidR="00623196">
        <w:rPr>
          <w:rStyle w:val="Heading2Char"/>
        </w:rPr>
        <w:t>A</w:t>
      </w:r>
      <w:r w:rsidRPr="00F26EA1">
        <w:rPr>
          <w:rStyle w:val="Heading2Char"/>
        </w:rPr>
        <w:t>ffected</w:t>
      </w:r>
      <w:r w:rsidRPr="00476B91">
        <w:rPr>
          <w:rFonts w:cs="Tahoma"/>
          <w:b/>
          <w:bCs/>
          <w:color w:val="000000"/>
        </w:rPr>
        <w:t xml:space="preserve"> </w:t>
      </w:r>
    </w:p>
    <w:p w14:paraId="249B74E4" w14:textId="23396097" w:rsidR="00C93EA7" w:rsidRDefault="002479FE" w:rsidP="00631E0B">
      <w:pPr>
        <w:rPr>
          <w:rFonts w:cs="Arial"/>
        </w:rPr>
      </w:pPr>
      <w:hyperlink r:id="rId15" w:history="1">
        <w:r w:rsidR="00585C2A">
          <w:rPr>
            <w:rStyle w:val="Hyperlink"/>
            <w:rFonts w:cs="Arial"/>
          </w:rPr>
          <w:t>MOD-026-1</w:t>
        </w:r>
      </w:hyperlink>
      <w:r w:rsidR="00C93EA7" w:rsidRPr="00C93EA7">
        <w:rPr>
          <w:rFonts w:cs="Arial"/>
        </w:rPr>
        <w:t xml:space="preserve"> Verification </w:t>
      </w:r>
      <w:r w:rsidR="00585C2A">
        <w:rPr>
          <w:rFonts w:cs="Arial"/>
        </w:rPr>
        <w:t>of Models and Data for Generator Excitation Control System or Plant Volt/Var Control Functions</w:t>
      </w:r>
    </w:p>
    <w:p w14:paraId="463C7A2C" w14:textId="77777777" w:rsidR="00FC613F" w:rsidRDefault="00FC613F" w:rsidP="00631E0B"/>
    <w:p w14:paraId="25DE717D" w14:textId="1CDF86A0" w:rsidR="00F21517" w:rsidRDefault="002479FE" w:rsidP="00FC613F">
      <w:pPr>
        <w:ind w:right="-72"/>
        <w:rPr>
          <w:rFonts w:cs="Arial"/>
        </w:rPr>
      </w:pPr>
      <w:hyperlink r:id="rId16" w:history="1">
        <w:r w:rsidR="00585C2A">
          <w:rPr>
            <w:rStyle w:val="Hyperlink"/>
            <w:rFonts w:cs="Arial"/>
          </w:rPr>
          <w:t>MOD-027-1</w:t>
        </w:r>
      </w:hyperlink>
      <w:r w:rsidR="00C93EA7" w:rsidRPr="00C93EA7">
        <w:rPr>
          <w:rFonts w:cs="Arial"/>
        </w:rPr>
        <w:t> </w:t>
      </w:r>
      <w:r w:rsidR="00585C2A">
        <w:rPr>
          <w:rFonts w:cs="Arial"/>
        </w:rPr>
        <w:t>Verification of Models and Data for Turbine/Governor and Load Control or Active Power/Frequency Control Functions</w:t>
      </w:r>
    </w:p>
    <w:p w14:paraId="5523DB47" w14:textId="77777777" w:rsidR="00FC613F" w:rsidRDefault="00FC613F" w:rsidP="00631E0B"/>
    <w:p w14:paraId="5906E134" w14:textId="0A39594F" w:rsidR="00585C2A" w:rsidRDefault="002479FE" w:rsidP="00631E0B">
      <w:pPr>
        <w:rPr>
          <w:rStyle w:val="BoxText"/>
          <w:rFonts w:asciiTheme="minorHAnsi" w:hAnsiTheme="minorHAnsi" w:cs="Arial"/>
          <w:b w:val="0"/>
          <w:sz w:val="24"/>
        </w:rPr>
      </w:pPr>
      <w:hyperlink r:id="rId17" w:history="1">
        <w:r w:rsidR="00585C2A" w:rsidRPr="00585C2A">
          <w:rPr>
            <w:rStyle w:val="Hyperlink"/>
            <w:rFonts w:cs="Arial"/>
          </w:rPr>
          <w:t>MOD-033-2</w:t>
        </w:r>
      </w:hyperlink>
      <w:r w:rsidR="00585C2A">
        <w:rPr>
          <w:rStyle w:val="BoxText"/>
          <w:rFonts w:asciiTheme="minorHAnsi" w:hAnsiTheme="minorHAnsi" w:cs="Arial"/>
          <w:b w:val="0"/>
          <w:sz w:val="24"/>
        </w:rPr>
        <w:t xml:space="preserve"> Steady-State and Dynamic System Model Validation</w:t>
      </w:r>
    </w:p>
    <w:p w14:paraId="05B786D4" w14:textId="77777777" w:rsidR="00447F09" w:rsidRDefault="00447F09" w:rsidP="00631E0B">
      <w:pPr>
        <w:rPr>
          <w:rStyle w:val="BoxText"/>
          <w:rFonts w:asciiTheme="minorHAnsi" w:hAnsiTheme="minorHAnsi" w:cs="Arial"/>
          <w:b w:val="0"/>
          <w:sz w:val="24"/>
        </w:rPr>
      </w:pPr>
    </w:p>
    <w:p w14:paraId="0CF66A20" w14:textId="77777777" w:rsidR="004B35EF" w:rsidRPr="006D112C" w:rsidRDefault="00447F09" w:rsidP="004B35EF">
      <w:pPr>
        <w:ind w:left="-5" w:right="378"/>
        <w:rPr>
          <w:color w:val="000000"/>
        </w:rPr>
      </w:pPr>
      <w:r w:rsidRPr="00F26EA1">
        <w:rPr>
          <w:rStyle w:val="Heading2Char"/>
        </w:rPr>
        <w:t>Nom</w:t>
      </w:r>
      <w:r w:rsidR="00623196" w:rsidRPr="00F26EA1">
        <w:rPr>
          <w:rStyle w:val="Heading2Char"/>
        </w:rPr>
        <w:t>i</w:t>
      </w:r>
      <w:r w:rsidRPr="00F26EA1">
        <w:rPr>
          <w:rStyle w:val="Heading2Char"/>
        </w:rPr>
        <w:t>n</w:t>
      </w:r>
      <w:r w:rsidR="00623196" w:rsidRPr="00F26EA1">
        <w:rPr>
          <w:rStyle w:val="Heading2Char"/>
        </w:rPr>
        <w:t>ee</w:t>
      </w:r>
      <w:r w:rsidRPr="00F26EA1">
        <w:rPr>
          <w:rStyle w:val="Heading2Char"/>
        </w:rPr>
        <w:t xml:space="preserve"> Expertise Requested</w:t>
      </w:r>
      <w:r>
        <w:rPr>
          <w:rStyle w:val="BoxText"/>
          <w:rFonts w:asciiTheme="minorHAnsi" w:hAnsiTheme="minorHAnsi" w:cs="Arial"/>
          <w:b w:val="0"/>
          <w:sz w:val="24"/>
        </w:rPr>
        <w:t xml:space="preserve"> </w:t>
      </w:r>
      <w:r w:rsidR="00D34F9C">
        <w:rPr>
          <w:rStyle w:val="BoxText"/>
          <w:rFonts w:asciiTheme="minorHAnsi" w:hAnsiTheme="minorHAnsi" w:cs="Arial"/>
          <w:b w:val="0"/>
          <w:sz w:val="24"/>
        </w:rPr>
        <w:br/>
      </w:r>
      <w:r w:rsidR="004B35EF">
        <w:rPr>
          <w:color w:val="000000"/>
        </w:rPr>
        <w:t xml:space="preserve">For this project, NERC is seeking individuals who possess experience in one or more of the following </w:t>
      </w:r>
      <w:r w:rsidR="004B35EF" w:rsidRPr="006D112C">
        <w:rPr>
          <w:color w:val="000000"/>
        </w:rPr>
        <w:t xml:space="preserve">areas: </w:t>
      </w:r>
    </w:p>
    <w:p w14:paraId="64520299" w14:textId="77777777" w:rsidR="004B35EF" w:rsidRDefault="004B35EF" w:rsidP="004B35EF">
      <w:pPr>
        <w:pStyle w:val="ListParagraph"/>
        <w:numPr>
          <w:ilvl w:val="0"/>
          <w:numId w:val="24"/>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Transmission planning assessments;</w:t>
      </w:r>
    </w:p>
    <w:p w14:paraId="393A9188" w14:textId="77777777" w:rsidR="004B35EF" w:rsidRDefault="004B35EF" w:rsidP="004B35EF">
      <w:pPr>
        <w:pStyle w:val="ListParagraph"/>
        <w:numPr>
          <w:ilvl w:val="0"/>
          <w:numId w:val="24"/>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Steady state and dynamic stability analyses;</w:t>
      </w:r>
    </w:p>
    <w:p w14:paraId="16EDE21B" w14:textId="77777777" w:rsidR="004B35EF" w:rsidRPr="006D112C" w:rsidRDefault="004B35EF" w:rsidP="004B35EF">
      <w:pPr>
        <w:pStyle w:val="ListParagraph"/>
        <w:numPr>
          <w:ilvl w:val="0"/>
          <w:numId w:val="24"/>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Sensitivity analysis;</w:t>
      </w:r>
    </w:p>
    <w:p w14:paraId="5CB1A536" w14:textId="7B2A2720" w:rsidR="00585C2A" w:rsidRDefault="00585C2A" w:rsidP="004B35EF">
      <w:pPr>
        <w:pStyle w:val="ListParagraph"/>
        <w:numPr>
          <w:ilvl w:val="0"/>
          <w:numId w:val="25"/>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Modeling;</w:t>
      </w:r>
    </w:p>
    <w:p w14:paraId="3F07D52A" w14:textId="1B2BED8A" w:rsidR="004B35EF" w:rsidRDefault="00585C2A" w:rsidP="004B35EF">
      <w:pPr>
        <w:pStyle w:val="ListParagraph"/>
        <w:numPr>
          <w:ilvl w:val="0"/>
          <w:numId w:val="25"/>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Model Validation;</w:t>
      </w:r>
    </w:p>
    <w:p w14:paraId="3A20ED30" w14:textId="2DF801E8" w:rsidR="00487E9F" w:rsidRPr="00585C2A" w:rsidRDefault="00585C2A" w:rsidP="0062503A">
      <w:pPr>
        <w:pStyle w:val="ListParagraph"/>
        <w:numPr>
          <w:ilvl w:val="0"/>
          <w:numId w:val="25"/>
        </w:numPr>
        <w:autoSpaceDE w:val="0"/>
        <w:autoSpaceDN w:val="0"/>
        <w:adjustRightInd w:val="0"/>
        <w:spacing w:before="120"/>
        <w:ind w:left="720"/>
        <w:rPr>
          <w:rStyle w:val="BoxText"/>
          <w:rFonts w:asciiTheme="minorHAnsi" w:hAnsiTheme="minorHAnsi" w:cs="Arial"/>
          <w:b w:val="0"/>
          <w:sz w:val="24"/>
        </w:rPr>
      </w:pPr>
      <w:r w:rsidRPr="00585C2A">
        <w:rPr>
          <w:rFonts w:asciiTheme="minorHAnsi" w:eastAsia="Times New Roman" w:hAnsiTheme="minorHAnsi"/>
          <w:color w:val="000000"/>
          <w:sz w:val="24"/>
          <w:szCs w:val="24"/>
          <w:lang w:eastAsia="en-US"/>
        </w:rPr>
        <w:t>Operational/performance data limitations</w:t>
      </w:r>
      <w:r w:rsidR="004B35EF" w:rsidRPr="00585C2A">
        <w:rPr>
          <w:rStyle w:val="BoxText"/>
          <w:rFonts w:asciiTheme="minorHAnsi" w:hAnsiTheme="minorHAnsi" w:cs="Arial"/>
          <w:b w:val="0"/>
          <w:sz w:val="24"/>
        </w:rPr>
        <w:t xml:space="preserve"> </w:t>
      </w:r>
    </w:p>
    <w:p w14:paraId="0CF2A34B" w14:textId="77777777" w:rsidR="00FE2A04" w:rsidRDefault="00FE2A04" w:rsidP="00F26EA1">
      <w:pPr>
        <w:pStyle w:val="Heading1"/>
        <w:rPr>
          <w:rStyle w:val="BoxText"/>
          <w:rFonts w:ascii="Tahoma" w:hAnsi="Tahoma"/>
          <w:b/>
          <w:sz w:val="28"/>
        </w:rPr>
      </w:pPr>
    </w:p>
    <w:p w14:paraId="0C7BDF84" w14:textId="0149F2C2" w:rsidR="00623196" w:rsidRPr="00F26EA1" w:rsidRDefault="00623196" w:rsidP="00F26EA1">
      <w:pPr>
        <w:pStyle w:val="Heading1"/>
        <w:rPr>
          <w:rStyle w:val="BoxText"/>
          <w:rFonts w:ascii="Tahoma" w:hAnsi="Tahoma"/>
          <w:b/>
          <w:sz w:val="28"/>
        </w:rPr>
      </w:pPr>
      <w:r w:rsidRPr="00F26EA1">
        <w:rPr>
          <w:rStyle w:val="BoxText"/>
          <w:rFonts w:ascii="Tahoma" w:hAnsi="Tahoma"/>
          <w:b/>
          <w:sz w:val="28"/>
        </w:rPr>
        <w:t>Time Commitment Expectations</w:t>
      </w:r>
    </w:p>
    <w:p w14:paraId="1C381FB5" w14:textId="454BAEA5" w:rsidR="00487E9F" w:rsidRDefault="00447F09" w:rsidP="00487E9F">
      <w:pPr>
        <w:ind w:left="-5" w:right="378"/>
        <w:rPr>
          <w:color w:val="000000"/>
        </w:rPr>
      </w:pPr>
      <w:r>
        <w:rPr>
          <w:color w:val="000000"/>
        </w:rPr>
        <w:t>T</w:t>
      </w:r>
      <w:r w:rsidR="00487E9F" w:rsidRPr="004C0DCD">
        <w:rPr>
          <w:color w:val="000000"/>
        </w:rPr>
        <w:t>ime commitment</w:t>
      </w:r>
      <w:r>
        <w:rPr>
          <w:color w:val="000000"/>
        </w:rPr>
        <w:t>s</w:t>
      </w:r>
      <w:r w:rsidR="00487E9F" w:rsidRPr="004C0DCD">
        <w:rPr>
          <w:color w:val="000000"/>
        </w:rPr>
        <w:t xml:space="preserve"> for </w:t>
      </w:r>
      <w:r>
        <w:rPr>
          <w:color w:val="000000"/>
        </w:rPr>
        <w:t>most</w:t>
      </w:r>
      <w:r w:rsidRPr="004C0DCD">
        <w:rPr>
          <w:color w:val="000000"/>
        </w:rPr>
        <w:t xml:space="preserve"> </w:t>
      </w:r>
      <w:r w:rsidR="00487E9F" w:rsidRPr="004C0DCD">
        <w:rPr>
          <w:color w:val="000000"/>
        </w:rPr>
        <w:t xml:space="preserve">projects </w:t>
      </w:r>
      <w:r>
        <w:rPr>
          <w:color w:val="000000"/>
        </w:rPr>
        <w:t>include</w:t>
      </w:r>
      <w:r w:rsidR="00487E9F" w:rsidRPr="004C0DCD">
        <w:rPr>
          <w:color w:val="000000"/>
        </w:rPr>
        <w:t xml:space="preserve"> up to two face-to-face meetings per quarter (on average two full working days each meeting) with conference calls scheduled as needed. </w:t>
      </w:r>
      <w:r w:rsidR="00972C26">
        <w:rPr>
          <w:color w:val="000000"/>
        </w:rPr>
        <w:t>T</w:t>
      </w:r>
      <w:r w:rsidR="00D34F9C">
        <w:rPr>
          <w:color w:val="000000"/>
        </w:rPr>
        <w:t>eam</w:t>
      </w:r>
      <w:r w:rsidR="00972C26">
        <w:rPr>
          <w:color w:val="000000"/>
        </w:rPr>
        <w:t xml:space="preserve"> members may </w:t>
      </w:r>
      <w:r w:rsidR="00623196">
        <w:rPr>
          <w:color w:val="000000"/>
        </w:rPr>
        <w:t xml:space="preserve">agree to </w:t>
      </w:r>
      <w:r w:rsidR="00487E9F" w:rsidRPr="004C0DCD">
        <w:rPr>
          <w:color w:val="000000"/>
        </w:rPr>
        <w:t>individual or subgroup</w:t>
      </w:r>
      <w:r w:rsidR="00623196">
        <w:rPr>
          <w:color w:val="000000"/>
        </w:rPr>
        <w:t xml:space="preserve"> assignments</w:t>
      </w:r>
      <w:r w:rsidR="00487E9F" w:rsidRPr="004C0DCD">
        <w:rPr>
          <w:color w:val="000000"/>
        </w:rPr>
        <w:t xml:space="preserve">, to </w:t>
      </w:r>
      <w:r w:rsidR="00623196">
        <w:rPr>
          <w:color w:val="000000"/>
        </w:rPr>
        <w:t xml:space="preserve">work in separate meetings and </w:t>
      </w:r>
      <w:r w:rsidR="00487E9F" w:rsidRPr="004C0DCD">
        <w:rPr>
          <w:color w:val="000000"/>
        </w:rPr>
        <w:t xml:space="preserve">present to the larger team for discussion and review. </w:t>
      </w:r>
      <w:r w:rsidR="00623196">
        <w:rPr>
          <w:color w:val="000000"/>
        </w:rPr>
        <w:t xml:space="preserve">Another </w:t>
      </w:r>
      <w:r w:rsidR="00487E9F" w:rsidRPr="004C0DCD">
        <w:rPr>
          <w:color w:val="000000"/>
        </w:rPr>
        <w:t xml:space="preserve">important component of </w:t>
      </w:r>
      <w:r w:rsidR="00623196">
        <w:rPr>
          <w:color w:val="000000"/>
        </w:rPr>
        <w:t xml:space="preserve">quality </w:t>
      </w:r>
      <w:r w:rsidR="00487E9F" w:rsidRPr="004C0DCD">
        <w:rPr>
          <w:color w:val="000000"/>
        </w:rPr>
        <w:t>review</w:t>
      </w:r>
      <w:r w:rsidR="00623196">
        <w:rPr>
          <w:color w:val="000000"/>
        </w:rPr>
        <w:t>s</w:t>
      </w:r>
      <w:r w:rsidR="00487E9F" w:rsidRPr="004C0DCD">
        <w:rPr>
          <w:color w:val="000000"/>
        </w:rPr>
        <w:t xml:space="preserve"> and drafting team effort</w:t>
      </w:r>
      <w:r w:rsidR="00623196">
        <w:rPr>
          <w:color w:val="000000"/>
        </w:rPr>
        <w:t>s</w:t>
      </w:r>
      <w:r w:rsidR="00487E9F" w:rsidRPr="004C0DCD">
        <w:rPr>
          <w:color w:val="000000"/>
        </w:rPr>
        <w:t xml:space="preserve">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53AA9D81" w14:textId="47F12854" w:rsidR="00447F09" w:rsidRDefault="00447F09" w:rsidP="00487E9F">
      <w:pPr>
        <w:ind w:left="-5" w:right="378"/>
        <w:rPr>
          <w:color w:val="000000"/>
        </w:rPr>
      </w:pPr>
    </w:p>
    <w:p w14:paraId="6FD25BC1" w14:textId="77777777" w:rsidR="00FC613F" w:rsidRDefault="00FC613F">
      <w:pPr>
        <w:rPr>
          <w:rFonts w:ascii="Tahoma" w:hAnsi="Tahoma"/>
          <w:b/>
          <w:bCs/>
          <w:sz w:val="22"/>
          <w:szCs w:val="20"/>
        </w:rPr>
      </w:pPr>
      <w:r>
        <w:br w:type="page"/>
      </w:r>
    </w:p>
    <w:p w14:paraId="09A50CAA" w14:textId="70470687" w:rsidR="008A60E1" w:rsidRDefault="008A60E1" w:rsidP="00F26EA1">
      <w:pPr>
        <w:pStyle w:val="Heading2"/>
      </w:pPr>
      <w:r>
        <w:lastRenderedPageBreak/>
        <w:t>Project Priority</w:t>
      </w:r>
    </w:p>
    <w:p w14:paraId="43028FB9" w14:textId="4306AE35" w:rsidR="0091727B" w:rsidRDefault="00447F09" w:rsidP="00487E9F">
      <w:pPr>
        <w:ind w:left="-5" w:right="378"/>
        <w:rPr>
          <w:color w:val="000000"/>
        </w:rPr>
      </w:pPr>
      <w:r>
        <w:rPr>
          <w:color w:val="000000"/>
        </w:rPr>
        <w:t xml:space="preserve">Each project will be developed according to that project’s priority status. While each standard project addresses particular industry needs, some projects will be identified as a higher priority project. A higher priority project may initially include a strict timeline, </w:t>
      </w:r>
      <w:r w:rsidR="00A11746">
        <w:rPr>
          <w:color w:val="000000"/>
        </w:rPr>
        <w:t>which</w:t>
      </w:r>
      <w:r>
        <w:rPr>
          <w:color w:val="000000"/>
        </w:rPr>
        <w:t xml:space="preserve"> may be needed to effectively respond to a FERC Directive or as determined by the NERC Board of Trustees. A higher priority project may also need to increase the frequency of meetings at any time throughout the development process to account for project timeline needs. </w:t>
      </w:r>
      <w:r w:rsidR="00A11746">
        <w:rPr>
          <w:color w:val="000000"/>
        </w:rPr>
        <w:t>Similarly</w:t>
      </w:r>
      <w:r>
        <w:rPr>
          <w:color w:val="000000"/>
        </w:rPr>
        <w:t>, other priority projects may adjust to a lower frequency of meeting</w:t>
      </w:r>
      <w:r w:rsidR="00A11746">
        <w:rPr>
          <w:color w:val="000000"/>
        </w:rPr>
        <w:t>s</w:t>
      </w:r>
      <w:r>
        <w:rPr>
          <w:color w:val="000000"/>
        </w:rPr>
        <w:t xml:space="preserve"> throughout the development process to reallocate resources to high priority projects. </w:t>
      </w:r>
    </w:p>
    <w:p w14:paraId="5E982C84" w14:textId="77777777" w:rsidR="00447F09" w:rsidRDefault="00447F09" w:rsidP="00487E9F">
      <w:pPr>
        <w:ind w:left="-5" w:right="378"/>
        <w:rPr>
          <w:color w:val="000000"/>
        </w:rPr>
      </w:pPr>
    </w:p>
    <w:p w14:paraId="76990A4C" w14:textId="5D5433BB" w:rsidR="00E1319A" w:rsidRDefault="0091727B" w:rsidP="00FC613F">
      <w:pPr>
        <w:ind w:left="-5" w:right="378"/>
        <w:rPr>
          <w:rFonts w:ascii="Verdana" w:hAnsi="Verdana" w:cs="Arial"/>
          <w:sz w:val="18"/>
          <w:szCs w:val="18"/>
        </w:rPr>
      </w:pPr>
      <w:r w:rsidRPr="00F26EA1">
        <w:rPr>
          <w:b/>
          <w:color w:val="000000"/>
          <w:u w:val="single"/>
        </w:rPr>
        <w:t xml:space="preserve">This project </w:t>
      </w:r>
      <w:r w:rsidR="00E1319A" w:rsidRPr="00F26EA1">
        <w:rPr>
          <w:b/>
          <w:color w:val="000000"/>
          <w:u w:val="single"/>
        </w:rPr>
        <w:t>has</w:t>
      </w:r>
      <w:r w:rsidR="00447F09" w:rsidRPr="00F26EA1">
        <w:rPr>
          <w:b/>
          <w:color w:val="000000"/>
          <w:u w:val="single"/>
        </w:rPr>
        <w:t xml:space="preserve"> </w:t>
      </w:r>
      <w:r w:rsidRPr="00F26EA1">
        <w:rPr>
          <w:b/>
          <w:color w:val="000000"/>
          <w:u w:val="single"/>
        </w:rPr>
        <w:t xml:space="preserve">been identified </w:t>
      </w:r>
      <w:r w:rsidR="00447F09" w:rsidRPr="00F26EA1">
        <w:rPr>
          <w:b/>
          <w:color w:val="000000"/>
          <w:u w:val="single"/>
        </w:rPr>
        <w:t>as higher priority at this time</w:t>
      </w:r>
      <w:r w:rsidR="00447F09" w:rsidRPr="00F26EA1">
        <w:rPr>
          <w:color w:val="000000"/>
          <w:u w:val="single"/>
        </w:rPr>
        <w:t>.</w:t>
      </w:r>
      <w:r w:rsidR="00E1319A">
        <w:rPr>
          <w:color w:val="000000"/>
          <w:u w:val="single"/>
        </w:rPr>
        <w:t xml:space="preserve"> </w:t>
      </w:r>
      <w:r w:rsidR="00E1319A">
        <w:rPr>
          <w:color w:val="000000"/>
        </w:rPr>
        <w:t xml:space="preserve">The project has a FERC deadline of </w:t>
      </w:r>
      <w:r w:rsidR="00C669C9" w:rsidRPr="0044449A">
        <w:rPr>
          <w:rFonts w:ascii="Calibri" w:hAnsi="Calibri"/>
        </w:rPr>
        <w:t>November 4, 2025</w:t>
      </w:r>
      <w:r w:rsidR="00E1319A">
        <w:rPr>
          <w:color w:val="000000"/>
        </w:rPr>
        <w:t xml:space="preserve">. To meet this deadline, the team will meet regularly, up to three times a week on conference calls, with </w:t>
      </w:r>
      <w:r w:rsidR="00E1319A" w:rsidRPr="009560C3">
        <w:rPr>
          <w:color w:val="000000"/>
        </w:rPr>
        <w:t xml:space="preserve">face-to-face meetings scheduled as </w:t>
      </w:r>
      <w:r w:rsidR="00E1319A">
        <w:rPr>
          <w:color w:val="000000"/>
        </w:rPr>
        <w:t xml:space="preserve">the members’ </w:t>
      </w:r>
      <w:r w:rsidR="00E1319A" w:rsidRPr="009560C3">
        <w:rPr>
          <w:color w:val="000000"/>
        </w:rPr>
        <w:t>schedule allow</w:t>
      </w:r>
      <w:r w:rsidR="00E1319A">
        <w:rPr>
          <w:color w:val="000000"/>
        </w:rPr>
        <w:t>s, up to once a quarter.</w:t>
      </w:r>
      <w:r w:rsidR="00E1319A" w:rsidRPr="009A6370">
        <w:rPr>
          <w:color w:val="000000"/>
        </w:rPr>
        <w:t xml:space="preserve"> </w:t>
      </w:r>
    </w:p>
    <w:p w14:paraId="492868A5" w14:textId="0BF58212" w:rsidR="00E1319A" w:rsidRDefault="00E1319A">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620"/>
        <w:gridCol w:w="90"/>
        <w:gridCol w:w="2250"/>
        <w:gridCol w:w="5942"/>
      </w:tblGrid>
      <w:tr w:rsidR="00FD1345" w:rsidRPr="00E23D20" w14:paraId="4338962F" w14:textId="77777777" w:rsidTr="00202BB5">
        <w:trPr>
          <w:trHeight w:val="413"/>
          <w:jc w:val="center"/>
        </w:trPr>
        <w:tc>
          <w:tcPr>
            <w:tcW w:w="2074" w:type="dxa"/>
            <w:gridSpan w:val="2"/>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gridSpan w:val="2"/>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gridSpan w:val="2"/>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gridSpan w:val="2"/>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gridSpan w:val="2"/>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5"/>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5"/>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479FE">
              <w:rPr>
                <w:rFonts w:cs="Arial"/>
              </w:rPr>
            </w:r>
            <w:r w:rsidR="002479F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479FE">
              <w:rPr>
                <w:rFonts w:cs="Arial"/>
              </w:rPr>
            </w:r>
            <w:r w:rsidR="002479F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5"/>
            <w:tcBorders>
              <w:bottom w:val="single" w:sz="4" w:space="0" w:color="auto"/>
            </w:tcBorders>
          </w:tcPr>
          <w:p w14:paraId="43389646" w14:textId="3014DA29"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w:t>
            </w:r>
            <w:r w:rsidR="00F22B52">
              <w:rPr>
                <w:rFonts w:cs="Arial"/>
                <w:b/>
              </w:rPr>
              <w:t>t</w:t>
            </w:r>
            <w:r w:rsidR="00F22B52" w:rsidRPr="00193AE7">
              <w:rPr>
                <w:rFonts w:cs="Arial"/>
                <w:b/>
              </w:rPr>
              <w:t>eam,</w:t>
            </w:r>
            <w:r w:rsidRPr="00193AE7">
              <w:rPr>
                <w:rFonts w:cs="Arial"/>
                <w:b/>
              </w:rPr>
              <w:t xml:space="preserve">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479FE">
              <w:rPr>
                <w:rFonts w:cs="Arial"/>
              </w:rPr>
            </w:r>
            <w:r w:rsidR="002479F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479FE">
              <w:rPr>
                <w:rFonts w:cs="Arial"/>
              </w:rPr>
            </w:r>
            <w:r w:rsidR="002479FE">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5"/>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2479FE">
              <w:rPr>
                <w:rFonts w:cs="Arial"/>
              </w:rPr>
            </w:r>
            <w:r w:rsidR="002479FE">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5"/>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3"/>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479FE">
              <w:rPr>
                <w:rStyle w:val="BoxText"/>
                <w:rFonts w:asciiTheme="minorHAnsi" w:hAnsiTheme="minorHAnsi"/>
                <w:b w:val="0"/>
                <w:sz w:val="24"/>
              </w:rPr>
            </w:r>
            <w:r w:rsidR="002479F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2479FE">
              <w:rPr>
                <w:rStyle w:val="BoxText"/>
                <w:rFonts w:asciiTheme="minorHAnsi" w:hAnsiTheme="minorHAnsi"/>
                <w:b w:val="0"/>
                <w:sz w:val="24"/>
              </w:rPr>
            </w:r>
            <w:r w:rsidR="002479FE">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2479FE">
              <w:rPr>
                <w:rStyle w:val="BoxText"/>
                <w:rFonts w:asciiTheme="minorHAnsi" w:hAnsiTheme="minorHAnsi"/>
                <w:b w:val="0"/>
                <w:sz w:val="24"/>
              </w:rPr>
            </w:r>
            <w:r w:rsidR="002479F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479FE">
              <w:rPr>
                <w:rStyle w:val="BoxText"/>
                <w:rFonts w:asciiTheme="minorHAnsi" w:hAnsiTheme="minorHAnsi"/>
                <w:b w:val="0"/>
                <w:sz w:val="24"/>
              </w:rPr>
            </w:r>
            <w:r w:rsidR="002479F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2479FE">
              <w:rPr>
                <w:rStyle w:val="BoxText"/>
                <w:rFonts w:asciiTheme="minorHAnsi" w:hAnsiTheme="minorHAnsi"/>
                <w:b w:val="0"/>
                <w:sz w:val="24"/>
              </w:rPr>
            </w:r>
            <w:r w:rsidR="002479F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2479FE">
              <w:rPr>
                <w:rStyle w:val="BoxText"/>
                <w:rFonts w:asciiTheme="minorHAnsi" w:hAnsiTheme="minorHAnsi"/>
                <w:b w:val="0"/>
                <w:sz w:val="24"/>
              </w:rPr>
            </w:r>
            <w:r w:rsidR="002479F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2479FE">
              <w:rPr>
                <w:rFonts w:cs="Arial"/>
              </w:rPr>
            </w:r>
            <w:r w:rsidR="002479FE">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r w:rsidR="00563006" w:rsidRPr="00081BCE" w14:paraId="43389658" w14:textId="77777777" w:rsidTr="00202BB5">
        <w:tblPrEx>
          <w:tblLook w:val="01E0" w:firstRow="1" w:lastRow="1" w:firstColumn="1" w:lastColumn="1" w:noHBand="0" w:noVBand="0"/>
        </w:tblPrEx>
        <w:trPr>
          <w:trHeight w:val="621"/>
          <w:jc w:val="center"/>
        </w:trPr>
        <w:tc>
          <w:tcPr>
            <w:tcW w:w="10356" w:type="dxa"/>
            <w:gridSpan w:val="5"/>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blPrEx>
          <w:tblLook w:val="01E0" w:firstRow="1" w:lastRow="1" w:firstColumn="1" w:lastColumn="1" w:noHBand="0" w:noVBand="0"/>
        </w:tblPrEx>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blPrEx>
          <w:tblLook w:val="01E0" w:firstRow="1" w:lastRow="1" w:firstColumn="1" w:lastColumn="1" w:noHBand="0" w:noVBand="0"/>
        </w:tblPrEx>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blPrEx>
          <w:tblLook w:val="01E0" w:firstRow="1" w:lastRow="1" w:firstColumn="1" w:lastColumn="1" w:noHBand="0" w:noVBand="0"/>
        </w:tblPrEx>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blPrEx>
          <w:tblLook w:val="01E0" w:firstRow="1" w:lastRow="1" w:firstColumn="1" w:lastColumn="1" w:noHBand="0" w:noVBand="0"/>
        </w:tblPrEx>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blPrEx>
          <w:tblLook w:val="01E0" w:firstRow="1" w:lastRow="1" w:firstColumn="1" w:lastColumn="1" w:noHBand="0" w:noVBand="0"/>
        </w:tblPrEx>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blPrEx>
          <w:tblLook w:val="01E0" w:firstRow="1" w:lastRow="1" w:firstColumn="1" w:lastColumn="1" w:noHBand="0" w:noVBand="0"/>
        </w:tblPrEx>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blPrEx>
          <w:tblLook w:val="01E0" w:firstRow="1" w:lastRow="1" w:firstColumn="1" w:lastColumn="1" w:noHBand="0" w:noVBand="0"/>
        </w:tblPrEx>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blPrEx>
          <w:tblLook w:val="01E0" w:firstRow="1" w:lastRow="1" w:firstColumn="1" w:lastColumn="1" w:noHBand="0" w:noVBand="0"/>
        </w:tblPrEx>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blPrEx>
          <w:tblLook w:val="01E0" w:firstRow="1" w:lastRow="1" w:firstColumn="1" w:lastColumn="1" w:noHBand="0" w:noVBand="0"/>
        </w:tblPrEx>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blPrEx>
          <w:tblLook w:val="01E0" w:firstRow="1" w:lastRow="1" w:firstColumn="1" w:lastColumn="1" w:noHBand="0" w:noVBand="0"/>
        </w:tblPrEx>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479FE">
              <w:rPr>
                <w:rFonts w:ascii="Verdana" w:hAnsi="Verdana" w:cs="Arial"/>
              </w:rPr>
            </w:r>
            <w:r w:rsidR="002479FE">
              <w:rPr>
                <w:rFonts w:ascii="Verdana" w:hAnsi="Verdana" w:cs="Arial"/>
              </w:rPr>
              <w:fldChar w:fldCharType="separate"/>
            </w:r>
            <w:r w:rsidRPr="00997A70">
              <w:rPr>
                <w:rFonts w:ascii="Verdana" w:hAnsi="Verdana" w:cs="Arial"/>
              </w:rPr>
              <w:fldChar w:fldCharType="end"/>
            </w:r>
          </w:p>
        </w:tc>
        <w:tc>
          <w:tcPr>
            <w:tcW w:w="9902" w:type="dxa"/>
            <w:gridSpan w:val="4"/>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blPrEx>
          <w:tblLook w:val="01E0" w:firstRow="1" w:lastRow="1" w:firstColumn="1" w:lastColumn="1" w:noHBand="0" w:noVBand="0"/>
        </w:tblPrEx>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2479FE">
              <w:rPr>
                <w:rStyle w:val="BoxText"/>
                <w:rFonts w:ascii="Verdana" w:hAnsi="Verdana"/>
                <w:b w:val="0"/>
                <w:sz w:val="24"/>
              </w:rPr>
            </w:r>
            <w:r w:rsidR="002479F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4"/>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rPr>
          <w:cantSplit/>
          <w:trHeight w:val="350"/>
          <w:jc w:val="center"/>
        </w:trPr>
        <w:tc>
          <w:tcPr>
            <w:tcW w:w="10356" w:type="dxa"/>
            <w:gridSpan w:val="5"/>
            <w:shd w:val="clear" w:color="auto" w:fill="204C81"/>
            <w:vAlign w:val="center"/>
          </w:tcPr>
          <w:p w14:paraId="4338967A" w14:textId="5AD14B0E"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202BB5">
        <w:trPr>
          <w:cantSplit/>
          <w:trHeight w:val="621"/>
          <w:jc w:val="center"/>
        </w:trPr>
        <w:tc>
          <w:tcPr>
            <w:tcW w:w="4414" w:type="dxa"/>
            <w:gridSpan w:val="4"/>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479FE">
              <w:rPr>
                <w:rStyle w:val="BoxText"/>
                <w:rFonts w:asciiTheme="minorHAnsi" w:hAnsiTheme="minorHAnsi" w:cs="Arial"/>
                <w:b w:val="0"/>
                <w:sz w:val="24"/>
              </w:rPr>
            </w:r>
            <w:r w:rsidR="002479F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8"/>
      <w:footerReference w:type="default" r:id="rId19"/>
      <w:headerReference w:type="first" r:id="rId20"/>
      <w:footerReference w:type="first" r:id="rId21"/>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A70DF" w14:textId="77777777" w:rsidR="005E09E7" w:rsidRDefault="005E09E7">
      <w:r>
        <w:separator/>
      </w:r>
    </w:p>
  </w:endnote>
  <w:endnote w:type="continuationSeparator" w:id="0">
    <w:p w14:paraId="151F6238" w14:textId="77777777" w:rsidR="005E09E7" w:rsidRDefault="005E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8E702" w14:textId="59825630" w:rsidR="001A06C1" w:rsidRDefault="001D1CFA" w:rsidP="0002368A">
    <w:pPr>
      <w:pStyle w:val="Footer"/>
      <w:tabs>
        <w:tab w:val="clear" w:pos="10354"/>
        <w:tab w:val="right" w:pos="10350"/>
      </w:tabs>
      <w:ind w:left="0" w:right="18"/>
    </w:pPr>
    <w:r w:rsidRPr="00833311">
      <w:t xml:space="preserve">Project </w:t>
    </w:r>
    <w:r w:rsidR="006874C5">
      <w:t>202</w:t>
    </w:r>
    <w:r w:rsidR="00BF632B">
      <w:t>0-06</w:t>
    </w:r>
    <w:r w:rsidR="006874C5">
      <w:t xml:space="preserve"> </w:t>
    </w:r>
    <w:r w:rsidR="00BF632B">
      <w:t>Verification of Models and Data for Generators</w:t>
    </w:r>
    <w:r w:rsidRPr="008258FE">
      <w:t xml:space="preserve"> </w:t>
    </w:r>
  </w:p>
  <w:p w14:paraId="433896AB" w14:textId="4DBB57EF" w:rsidR="00896153" w:rsidRPr="00855BA8" w:rsidRDefault="00FC613F" w:rsidP="0002368A">
    <w:pPr>
      <w:pStyle w:val="Footer"/>
      <w:tabs>
        <w:tab w:val="clear" w:pos="10354"/>
        <w:tab w:val="right" w:pos="10350"/>
      </w:tabs>
      <w:ind w:left="0" w:right="18"/>
    </w:pPr>
    <w:r>
      <w:t xml:space="preserve">Unofficial Nomination Form | </w:t>
    </w:r>
    <w:r w:rsidR="006874C5">
      <w:t>May</w:t>
    </w:r>
    <w:r w:rsidR="005B12C4">
      <w:t xml:space="preserve"> 2</w:t>
    </w:r>
    <w:r>
      <w:t>3</w:t>
    </w:r>
    <w:r w:rsidR="005B12C4">
      <w:t>,</w:t>
    </w:r>
    <w:r w:rsidR="006874C5">
      <w:t xml:space="preserve"> 2024</w:t>
    </w:r>
    <w:r w:rsidR="00896153">
      <w:tab/>
    </w:r>
    <w:r w:rsidR="001F52FD">
      <w:fldChar w:fldCharType="begin"/>
    </w:r>
    <w:r w:rsidR="001F52FD">
      <w:instrText xml:space="preserve"> PAGE </w:instrText>
    </w:r>
    <w:r w:rsidR="001F52FD">
      <w:fldChar w:fldCharType="separate"/>
    </w:r>
    <w:r w:rsidR="00A01F94">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38D8E" w14:textId="77777777" w:rsidR="005E09E7" w:rsidRDefault="005E09E7">
      <w:r>
        <w:separator/>
      </w:r>
    </w:p>
  </w:footnote>
  <w:footnote w:type="continuationSeparator" w:id="0">
    <w:p w14:paraId="1F7E7494" w14:textId="77777777" w:rsidR="005E09E7" w:rsidRDefault="005E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C" w14:textId="00A73417" w:rsidR="00896153" w:rsidRPr="00F26EA1" w:rsidRDefault="00447F09" w:rsidP="00F26EA1">
    <w:pPr>
      <w:jc w:val="right"/>
      <w:rPr>
        <w:b/>
      </w:rPr>
    </w:pPr>
    <w:r w:rsidRPr="00F26EA1">
      <w:rPr>
        <w:rFonts w:cs="Arial"/>
        <w:b/>
        <w:color w:val="FF0000"/>
      </w:rPr>
      <w:t>Do not use this form for submitting nominations</w:t>
    </w:r>
    <w:r w:rsidRPr="00F26EA1">
      <w:rPr>
        <w:b/>
        <w:noProof/>
      </w:rPr>
      <w:t xml:space="preserve"> </w:t>
    </w:r>
    <w:r w:rsidR="00260BED" w:rsidRPr="00F26EA1">
      <w:rPr>
        <w:b/>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884936">
    <w:abstractNumId w:val="20"/>
  </w:num>
  <w:num w:numId="2" w16cid:durableId="808472219">
    <w:abstractNumId w:val="12"/>
  </w:num>
  <w:num w:numId="3" w16cid:durableId="564950397">
    <w:abstractNumId w:val="22"/>
  </w:num>
  <w:num w:numId="4" w16cid:durableId="187647569">
    <w:abstractNumId w:val="16"/>
  </w:num>
  <w:num w:numId="5" w16cid:durableId="1985547749">
    <w:abstractNumId w:val="23"/>
  </w:num>
  <w:num w:numId="6" w16cid:durableId="304967842">
    <w:abstractNumId w:val="9"/>
  </w:num>
  <w:num w:numId="7" w16cid:durableId="673342619">
    <w:abstractNumId w:val="7"/>
  </w:num>
  <w:num w:numId="8" w16cid:durableId="1963531534">
    <w:abstractNumId w:val="6"/>
  </w:num>
  <w:num w:numId="9" w16cid:durableId="1353872627">
    <w:abstractNumId w:val="5"/>
  </w:num>
  <w:num w:numId="10" w16cid:durableId="1835494003">
    <w:abstractNumId w:val="4"/>
  </w:num>
  <w:num w:numId="11" w16cid:durableId="1386836417">
    <w:abstractNumId w:val="8"/>
  </w:num>
  <w:num w:numId="12" w16cid:durableId="1060522243">
    <w:abstractNumId w:val="3"/>
  </w:num>
  <w:num w:numId="13" w16cid:durableId="114370748">
    <w:abstractNumId w:val="2"/>
  </w:num>
  <w:num w:numId="14" w16cid:durableId="1500920996">
    <w:abstractNumId w:val="1"/>
  </w:num>
  <w:num w:numId="15" w16cid:durableId="573900077">
    <w:abstractNumId w:val="0"/>
  </w:num>
  <w:num w:numId="16" w16cid:durableId="1439446174">
    <w:abstractNumId w:val="17"/>
  </w:num>
  <w:num w:numId="17" w16cid:durableId="1551721952">
    <w:abstractNumId w:val="13"/>
  </w:num>
  <w:num w:numId="18" w16cid:durableId="1949921707">
    <w:abstractNumId w:val="15"/>
  </w:num>
  <w:num w:numId="19" w16cid:durableId="2092965174">
    <w:abstractNumId w:val="11"/>
  </w:num>
  <w:num w:numId="20" w16cid:durableId="349065380">
    <w:abstractNumId w:val="19"/>
  </w:num>
  <w:num w:numId="21" w16cid:durableId="803888235">
    <w:abstractNumId w:val="14"/>
  </w:num>
  <w:num w:numId="22" w16cid:durableId="151600849">
    <w:abstractNumId w:val="10"/>
  </w:num>
  <w:num w:numId="23" w16cid:durableId="113907255">
    <w:abstractNumId w:val="24"/>
  </w:num>
  <w:num w:numId="24" w16cid:durableId="1110783948">
    <w:abstractNumId w:val="18"/>
  </w:num>
  <w:num w:numId="25" w16cid:durableId="3003132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5763D"/>
    <w:rsid w:val="00061D56"/>
    <w:rsid w:val="00064B26"/>
    <w:rsid w:val="00077918"/>
    <w:rsid w:val="00081BCE"/>
    <w:rsid w:val="00090578"/>
    <w:rsid w:val="000A70BC"/>
    <w:rsid w:val="000B36CB"/>
    <w:rsid w:val="000B7A04"/>
    <w:rsid w:val="000C32BD"/>
    <w:rsid w:val="000D7162"/>
    <w:rsid w:val="000E3AB0"/>
    <w:rsid w:val="00102A01"/>
    <w:rsid w:val="00104317"/>
    <w:rsid w:val="001346AA"/>
    <w:rsid w:val="00136931"/>
    <w:rsid w:val="001574EA"/>
    <w:rsid w:val="00172F25"/>
    <w:rsid w:val="00193001"/>
    <w:rsid w:val="00193AE7"/>
    <w:rsid w:val="00196FDD"/>
    <w:rsid w:val="001A06C1"/>
    <w:rsid w:val="001A6FC8"/>
    <w:rsid w:val="001B4028"/>
    <w:rsid w:val="001C2713"/>
    <w:rsid w:val="001D1CFA"/>
    <w:rsid w:val="001D47FD"/>
    <w:rsid w:val="001F52FD"/>
    <w:rsid w:val="002025AF"/>
    <w:rsid w:val="00202BB5"/>
    <w:rsid w:val="002049EF"/>
    <w:rsid w:val="00217B25"/>
    <w:rsid w:val="00222203"/>
    <w:rsid w:val="00240726"/>
    <w:rsid w:val="00246CC0"/>
    <w:rsid w:val="002479FE"/>
    <w:rsid w:val="00257B0C"/>
    <w:rsid w:val="00260BED"/>
    <w:rsid w:val="00283FB4"/>
    <w:rsid w:val="002B29E4"/>
    <w:rsid w:val="002E2423"/>
    <w:rsid w:val="002E488B"/>
    <w:rsid w:val="002F2BFE"/>
    <w:rsid w:val="00300ABD"/>
    <w:rsid w:val="003134D1"/>
    <w:rsid w:val="0036300A"/>
    <w:rsid w:val="00366A96"/>
    <w:rsid w:val="0038676B"/>
    <w:rsid w:val="0039275D"/>
    <w:rsid w:val="003E1C41"/>
    <w:rsid w:val="004000B1"/>
    <w:rsid w:val="0040580D"/>
    <w:rsid w:val="0041064C"/>
    <w:rsid w:val="00442ED0"/>
    <w:rsid w:val="0044449A"/>
    <w:rsid w:val="00447F09"/>
    <w:rsid w:val="00456B99"/>
    <w:rsid w:val="004631BF"/>
    <w:rsid w:val="00467326"/>
    <w:rsid w:val="00471A6D"/>
    <w:rsid w:val="00476B91"/>
    <w:rsid w:val="004800C7"/>
    <w:rsid w:val="00480641"/>
    <w:rsid w:val="004859C6"/>
    <w:rsid w:val="0048765A"/>
    <w:rsid w:val="00487E9F"/>
    <w:rsid w:val="004A1B6D"/>
    <w:rsid w:val="004A60CD"/>
    <w:rsid w:val="004B35EF"/>
    <w:rsid w:val="004B7DE3"/>
    <w:rsid w:val="004D5953"/>
    <w:rsid w:val="004E7B5C"/>
    <w:rsid w:val="004F2B46"/>
    <w:rsid w:val="004F7E6A"/>
    <w:rsid w:val="00510652"/>
    <w:rsid w:val="00520FD1"/>
    <w:rsid w:val="005316C6"/>
    <w:rsid w:val="005316F3"/>
    <w:rsid w:val="00555F79"/>
    <w:rsid w:val="00563006"/>
    <w:rsid w:val="00565AB5"/>
    <w:rsid w:val="00573832"/>
    <w:rsid w:val="00583A5C"/>
    <w:rsid w:val="00585C2A"/>
    <w:rsid w:val="00587885"/>
    <w:rsid w:val="005A721A"/>
    <w:rsid w:val="005B12C4"/>
    <w:rsid w:val="005B7382"/>
    <w:rsid w:val="005D193A"/>
    <w:rsid w:val="005D3F72"/>
    <w:rsid w:val="005E09E7"/>
    <w:rsid w:val="00614E63"/>
    <w:rsid w:val="00623196"/>
    <w:rsid w:val="0062446B"/>
    <w:rsid w:val="00631E0B"/>
    <w:rsid w:val="00652754"/>
    <w:rsid w:val="00663305"/>
    <w:rsid w:val="00676CFA"/>
    <w:rsid w:val="006826D0"/>
    <w:rsid w:val="006874C5"/>
    <w:rsid w:val="00692F16"/>
    <w:rsid w:val="00694CD1"/>
    <w:rsid w:val="006A71F1"/>
    <w:rsid w:val="006B3EC7"/>
    <w:rsid w:val="006C1F78"/>
    <w:rsid w:val="006C3C30"/>
    <w:rsid w:val="006C6BAC"/>
    <w:rsid w:val="006E67B7"/>
    <w:rsid w:val="006E7855"/>
    <w:rsid w:val="006E7949"/>
    <w:rsid w:val="007028C0"/>
    <w:rsid w:val="00707018"/>
    <w:rsid w:val="00714904"/>
    <w:rsid w:val="007254EA"/>
    <w:rsid w:val="00726A02"/>
    <w:rsid w:val="00733724"/>
    <w:rsid w:val="0074626C"/>
    <w:rsid w:val="00753704"/>
    <w:rsid w:val="00791651"/>
    <w:rsid w:val="00792E2C"/>
    <w:rsid w:val="00794E97"/>
    <w:rsid w:val="007C5DB6"/>
    <w:rsid w:val="007E79B4"/>
    <w:rsid w:val="0080753A"/>
    <w:rsid w:val="00816016"/>
    <w:rsid w:val="0083086C"/>
    <w:rsid w:val="00833311"/>
    <w:rsid w:val="00851BE6"/>
    <w:rsid w:val="00855BA8"/>
    <w:rsid w:val="0086391A"/>
    <w:rsid w:val="008866E7"/>
    <w:rsid w:val="00896153"/>
    <w:rsid w:val="008A07D5"/>
    <w:rsid w:val="008A2272"/>
    <w:rsid w:val="008A60E1"/>
    <w:rsid w:val="008B6FE3"/>
    <w:rsid w:val="008C572D"/>
    <w:rsid w:val="008F3E6E"/>
    <w:rsid w:val="00905DC1"/>
    <w:rsid w:val="00914D29"/>
    <w:rsid w:val="009150D1"/>
    <w:rsid w:val="0091727B"/>
    <w:rsid w:val="00930D3B"/>
    <w:rsid w:val="009347DA"/>
    <w:rsid w:val="00972C26"/>
    <w:rsid w:val="00984B92"/>
    <w:rsid w:val="00997A70"/>
    <w:rsid w:val="009A4ED6"/>
    <w:rsid w:val="009A754D"/>
    <w:rsid w:val="009D4F49"/>
    <w:rsid w:val="009E317C"/>
    <w:rsid w:val="009E390D"/>
    <w:rsid w:val="009F739C"/>
    <w:rsid w:val="00A01F94"/>
    <w:rsid w:val="00A11746"/>
    <w:rsid w:val="00A15C0A"/>
    <w:rsid w:val="00A338BB"/>
    <w:rsid w:val="00A35DA7"/>
    <w:rsid w:val="00A452A2"/>
    <w:rsid w:val="00A6738A"/>
    <w:rsid w:val="00A86876"/>
    <w:rsid w:val="00AB4D4A"/>
    <w:rsid w:val="00AC0C35"/>
    <w:rsid w:val="00AD1865"/>
    <w:rsid w:val="00B146D4"/>
    <w:rsid w:val="00B240FF"/>
    <w:rsid w:val="00B375B5"/>
    <w:rsid w:val="00B62A1A"/>
    <w:rsid w:val="00B86AB0"/>
    <w:rsid w:val="00BA34E0"/>
    <w:rsid w:val="00BD1BF4"/>
    <w:rsid w:val="00BE3360"/>
    <w:rsid w:val="00BE5580"/>
    <w:rsid w:val="00BF632B"/>
    <w:rsid w:val="00BF7EF4"/>
    <w:rsid w:val="00C31EA1"/>
    <w:rsid w:val="00C52B81"/>
    <w:rsid w:val="00C669C9"/>
    <w:rsid w:val="00C802A9"/>
    <w:rsid w:val="00C87293"/>
    <w:rsid w:val="00C93EA7"/>
    <w:rsid w:val="00C975FA"/>
    <w:rsid w:val="00CA1EBD"/>
    <w:rsid w:val="00CC7BE7"/>
    <w:rsid w:val="00CE15D6"/>
    <w:rsid w:val="00CE30EA"/>
    <w:rsid w:val="00CF0B41"/>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382D"/>
    <w:rsid w:val="00DA634C"/>
    <w:rsid w:val="00DB028B"/>
    <w:rsid w:val="00DB0B2C"/>
    <w:rsid w:val="00DB62EC"/>
    <w:rsid w:val="00DB7C23"/>
    <w:rsid w:val="00DC7C53"/>
    <w:rsid w:val="00DD3E6B"/>
    <w:rsid w:val="00DD63A3"/>
    <w:rsid w:val="00E1319A"/>
    <w:rsid w:val="00E24246"/>
    <w:rsid w:val="00E65B2F"/>
    <w:rsid w:val="00E74E4F"/>
    <w:rsid w:val="00E84AA3"/>
    <w:rsid w:val="00E860B8"/>
    <w:rsid w:val="00F16B2C"/>
    <w:rsid w:val="00F200CF"/>
    <w:rsid w:val="00F21517"/>
    <w:rsid w:val="00F22B52"/>
    <w:rsid w:val="00F26EA1"/>
    <w:rsid w:val="00F31926"/>
    <w:rsid w:val="00F359FF"/>
    <w:rsid w:val="00F5557A"/>
    <w:rsid w:val="00F97B61"/>
    <w:rsid w:val="00FA0C91"/>
    <w:rsid w:val="00FB5404"/>
    <w:rsid w:val="00FC45AD"/>
    <w:rsid w:val="00FC613F"/>
    <w:rsid w:val="00FC7B36"/>
    <w:rsid w:val="00FD1345"/>
    <w:rsid w:val="00FE2A04"/>
    <w:rsid w:val="00FF1E1F"/>
    <w:rsid w:val="00FF5C65"/>
    <w:rsid w:val="00FF620E"/>
    <w:rsid w:val="00FF6BE1"/>
    <w:rsid w:val="00FF701A"/>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0A"/>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normaltextrun">
    <w:name w:val="normaltextrun"/>
    <w:basedOn w:val="DefaultParagraphFont"/>
    <w:rsid w:val="00F16B2C"/>
  </w:style>
  <w:style w:type="character" w:customStyle="1" w:styleId="eop">
    <w:name w:val="eop"/>
    <w:basedOn w:val="DefaultParagraphFont"/>
    <w:rsid w:val="00F16B2C"/>
  </w:style>
  <w:style w:type="character" w:styleId="UnresolvedMention">
    <w:name w:val="Unresolved Mention"/>
    <w:basedOn w:val="DefaultParagraphFont"/>
    <w:uiPriority w:val="99"/>
    <w:semiHidden/>
    <w:unhideWhenUsed/>
    <w:rsid w:val="00C93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430517">
      <w:bodyDiv w:val="1"/>
      <w:marLeft w:val="0"/>
      <w:marRight w:val="0"/>
      <w:marTop w:val="0"/>
      <w:marBottom w:val="0"/>
      <w:divBdr>
        <w:top w:val="none" w:sz="0" w:space="0" w:color="auto"/>
        <w:left w:val="none" w:sz="0" w:space="0" w:color="auto"/>
        <w:bottom w:val="none" w:sz="0" w:space="0" w:color="auto"/>
        <w:right w:val="none" w:sz="0" w:space="0" w:color="auto"/>
      </w:divBdr>
    </w:div>
    <w:div w:id="859703247">
      <w:bodyDiv w:val="1"/>
      <w:marLeft w:val="0"/>
      <w:marRight w:val="0"/>
      <w:marTop w:val="0"/>
      <w:marBottom w:val="0"/>
      <w:divBdr>
        <w:top w:val="none" w:sz="0" w:space="0" w:color="auto"/>
        <w:left w:val="none" w:sz="0" w:space="0" w:color="auto"/>
        <w:bottom w:val="none" w:sz="0" w:space="0" w:color="auto"/>
        <w:right w:val="none" w:sz="0" w:space="0" w:color="auto"/>
      </w:divBdr>
    </w:div>
    <w:div w:id="940376461">
      <w:bodyDiv w:val="1"/>
      <w:marLeft w:val="0"/>
      <w:marRight w:val="0"/>
      <w:marTop w:val="0"/>
      <w:marBottom w:val="0"/>
      <w:divBdr>
        <w:top w:val="none" w:sz="0" w:space="0" w:color="auto"/>
        <w:left w:val="none" w:sz="0" w:space="0" w:color="auto"/>
        <w:bottom w:val="none" w:sz="0" w:space="0" w:color="auto"/>
        <w:right w:val="none" w:sz="0" w:space="0" w:color="auto"/>
      </w:divBdr>
    </w:div>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7430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_06-Verifications-of-Models-and-Data-for-Generator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erc.checkboxonline.com/8AC508A9-8045-4F79-A3F3-6BEF6A74273E" TargetMode="External"/><Relationship Id="rId17" Type="http://schemas.openxmlformats.org/officeDocument/2006/relationships/hyperlink" Target="https://www.nerc.com/pa/Stand/Reliability%20Standards/MOD-033-2.pdf" TargetMode="External"/><Relationship Id="rId2" Type="http://schemas.openxmlformats.org/officeDocument/2006/relationships/customXml" Target="../customXml/item2.xml"/><Relationship Id="rId16" Type="http://schemas.openxmlformats.org/officeDocument/2006/relationships/hyperlink" Target="https://www.nerc.com/pa/Stand/Project%20200709%20%20Generator%20Verification%20%20PRC0241/MOD-027-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pa/Stand/Reliability%20Standards/MOD-026-1.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ie.calderon@nerc.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9C24F-2DB8-417F-912F-9CEFCE523378}">
  <ds:schemaRefs>
    <ds:schemaRef ds:uri="http://schemas.microsoft.com/sharepoint/events"/>
  </ds:schemaRefs>
</ds:datastoreItem>
</file>

<file path=customXml/itemProps2.xml><?xml version="1.0" encoding="utf-8"?>
<ds:datastoreItem xmlns:ds="http://schemas.openxmlformats.org/officeDocument/2006/customXml" ds:itemID="{574D8AB6-E896-4080-97C7-00ACE8BD0232}">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4.xml><?xml version="1.0" encoding="utf-8"?>
<ds:datastoreItem xmlns:ds="http://schemas.openxmlformats.org/officeDocument/2006/customXml" ds:itemID="{1219EDAB-E4D3-4523-9DE0-EB1747859969}"/>
</file>

<file path=customXml/itemProps5.xml><?xml version="1.0" encoding="utf-8"?>
<ds:datastoreItem xmlns:ds="http://schemas.openxmlformats.org/officeDocument/2006/customXml" ds:itemID="{AD0775E1-7409-42F6-99E6-817FDA565FA0}">
  <ds:schemaRefs>
    <ds:schemaRef ds:uri="http://schemas.openxmlformats.org/officeDocument/2006/bibliography"/>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8285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2024-05-15T20:08:00Z</dcterms:created>
  <dcterms:modified xsi:type="dcterms:W3CDTF">2024-05-21T21:46:00Z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