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75D" w:rsidRPr="00687867" w:rsidRDefault="00642700" w:rsidP="0039275D">
      <w:pPr>
        <w:pStyle w:val="DocumentTitle"/>
        <w:spacing w:before="0"/>
        <w:ind w:left="-90"/>
        <w:rPr>
          <w:sz w:val="44"/>
          <w:szCs w:val="44"/>
        </w:rPr>
      </w:pPr>
      <w:bookmarkStart w:id="0" w:name="_Toc195946478"/>
      <w:r>
        <w:rPr>
          <w:sz w:val="44"/>
          <w:szCs w:val="44"/>
        </w:rPr>
        <w:t>Comment Form</w:t>
      </w:r>
      <w:bookmarkEnd w:id="0"/>
    </w:p>
    <w:p w:rsidR="0039275D" w:rsidRPr="00AB767D" w:rsidRDefault="00402B8E" w:rsidP="0039275D">
      <w:pPr>
        <w:pStyle w:val="DocumentSubtitle"/>
        <w:spacing w:after="0"/>
        <w:ind w:left="-90"/>
        <w:rPr>
          <w:szCs w:val="36"/>
        </w:rPr>
      </w:pPr>
      <w:r>
        <w:rPr>
          <w:szCs w:val="36"/>
        </w:rPr>
        <w:t>Project 200</w:t>
      </w:r>
      <w:r w:rsidR="0048146A">
        <w:rPr>
          <w:szCs w:val="36"/>
        </w:rPr>
        <w:t>9</w:t>
      </w:r>
      <w:r w:rsidR="00AB767D" w:rsidRPr="00AB767D">
        <w:rPr>
          <w:szCs w:val="36"/>
        </w:rPr>
        <w:t>-0</w:t>
      </w:r>
      <w:r w:rsidR="0048146A">
        <w:rPr>
          <w:szCs w:val="36"/>
        </w:rPr>
        <w:t>1</w:t>
      </w:r>
      <w:r w:rsidR="00B22406">
        <w:rPr>
          <w:szCs w:val="36"/>
        </w:rPr>
        <w:t xml:space="preserve"> </w:t>
      </w:r>
      <w:r w:rsidR="0048146A">
        <w:rPr>
          <w:szCs w:val="36"/>
        </w:rPr>
        <w:t>Disturbance and Sabotage Reporting</w:t>
      </w:r>
    </w:p>
    <w:p w:rsidR="0039275D" w:rsidRPr="00687867" w:rsidRDefault="0039275D" w:rsidP="0039275D">
      <w:pPr>
        <w:pStyle w:val="Heading"/>
        <w:spacing w:before="0" w:after="0"/>
        <w:ind w:left="-90" w:firstLine="720"/>
        <w:rPr>
          <w:sz w:val="24"/>
          <w:szCs w:val="24"/>
        </w:rPr>
      </w:pPr>
      <w:bookmarkStart w:id="1" w:name="_Toc195946480"/>
    </w:p>
    <w:p w:rsidR="0039275D" w:rsidRPr="00687867" w:rsidRDefault="0039275D" w:rsidP="0039275D">
      <w:pPr>
        <w:pStyle w:val="Heading"/>
        <w:spacing w:before="0" w:after="0"/>
        <w:ind w:left="-90"/>
        <w:rPr>
          <w:sz w:val="24"/>
          <w:szCs w:val="24"/>
        </w:rPr>
      </w:pPr>
    </w:p>
    <w:bookmarkEnd w:id="1"/>
    <w:p w:rsidR="00642700" w:rsidRPr="00786AD7" w:rsidRDefault="00763862" w:rsidP="00642700">
      <w:pPr>
        <w:rPr>
          <w:rFonts w:asciiTheme="minorHAnsi" w:hAnsiTheme="minorHAnsi"/>
        </w:rPr>
      </w:pPr>
      <w:r w:rsidRPr="00C13CC8">
        <w:rPr>
          <w:rFonts w:asciiTheme="minorHAnsi" w:hAnsiTheme="minorHAnsi"/>
        </w:rPr>
        <w:t xml:space="preserve">Please </w:t>
      </w:r>
      <w:r w:rsidRPr="003869FD">
        <w:rPr>
          <w:rFonts w:asciiTheme="minorHAnsi" w:hAnsiTheme="minorHAnsi"/>
          <w:color w:val="FF0000"/>
        </w:rPr>
        <w:t>DO NOT</w:t>
      </w:r>
      <w:r w:rsidRPr="00C13CC8">
        <w:rPr>
          <w:rFonts w:asciiTheme="minorHAnsi" w:hAnsiTheme="minorHAnsi"/>
        </w:rPr>
        <w:t xml:space="preserve"> use this form for submitting comments.  Please use the </w:t>
      </w:r>
      <w:hyperlink r:id="rId8" w:history="1">
        <w:r w:rsidRPr="00BB20E1">
          <w:rPr>
            <w:rStyle w:val="Hyperlink"/>
            <w:rFonts w:asciiTheme="minorHAnsi" w:hAnsiTheme="minorHAnsi"/>
          </w:rPr>
          <w:t>electronic form</w:t>
        </w:r>
      </w:hyperlink>
      <w:r w:rsidRPr="00C13CC8">
        <w:rPr>
          <w:rFonts w:asciiTheme="minorHAnsi" w:hAnsiTheme="minorHAnsi"/>
        </w:rPr>
        <w:t xml:space="preserve"> to submit comments on the</w:t>
      </w:r>
      <w:r>
        <w:rPr>
          <w:rFonts w:asciiTheme="minorHAnsi" w:hAnsiTheme="minorHAnsi"/>
        </w:rPr>
        <w:t xml:space="preserve"> </w:t>
      </w:r>
      <w:r w:rsidRPr="00C147E3">
        <w:rPr>
          <w:rFonts w:asciiTheme="minorHAnsi" w:hAnsiTheme="minorHAnsi"/>
        </w:rPr>
        <w:t xml:space="preserve">draft </w:t>
      </w:r>
      <w:r>
        <w:rPr>
          <w:rFonts w:asciiTheme="minorHAnsi" w:hAnsiTheme="minorHAnsi"/>
        </w:rPr>
        <w:t>standard EOP-004-2.  Comments</w:t>
      </w:r>
      <w:r w:rsidRPr="00C147E3">
        <w:rPr>
          <w:rFonts w:asciiTheme="minorHAnsi" w:hAnsiTheme="minorHAnsi"/>
        </w:rPr>
        <w:t xml:space="preserve"> must be submitted by </w:t>
      </w:r>
      <w:r w:rsidR="00D12DB6" w:rsidRPr="00BB20E1">
        <w:rPr>
          <w:rFonts w:asciiTheme="minorHAnsi" w:hAnsiTheme="minorHAnsi"/>
          <w:color w:val="FF0000"/>
        </w:rPr>
        <w:t>May 24</w:t>
      </w:r>
      <w:r w:rsidRPr="00BB20E1">
        <w:rPr>
          <w:rFonts w:asciiTheme="minorHAnsi" w:hAnsiTheme="minorHAnsi"/>
          <w:color w:val="FF0000"/>
        </w:rPr>
        <w:t>, 2012</w:t>
      </w:r>
      <w:r w:rsidR="00642700" w:rsidRPr="00BB20E1">
        <w:rPr>
          <w:rFonts w:asciiTheme="minorHAnsi" w:hAnsiTheme="minorHAnsi"/>
          <w:b/>
        </w:rPr>
        <w:t>.</w:t>
      </w:r>
      <w:r w:rsidR="00642700" w:rsidRPr="00786AD7">
        <w:rPr>
          <w:rFonts w:asciiTheme="minorHAnsi" w:hAnsiTheme="minorHAnsi"/>
          <w:b/>
        </w:rPr>
        <w:t xml:space="preserve">  </w:t>
      </w:r>
      <w:r w:rsidR="00642700" w:rsidRPr="00786AD7">
        <w:rPr>
          <w:rFonts w:asciiTheme="minorHAnsi" w:hAnsiTheme="minorHAnsi"/>
        </w:rPr>
        <w:t xml:space="preserve">If you have questions please contact </w:t>
      </w:r>
      <w:hyperlink r:id="rId9" w:history="1">
        <w:r w:rsidR="00642700" w:rsidRPr="00DB2982">
          <w:rPr>
            <w:rStyle w:val="Hyperlink"/>
            <w:rFonts w:asciiTheme="minorHAnsi" w:hAnsiTheme="minorHAnsi"/>
          </w:rPr>
          <w:t>Stephen Crutchfield</w:t>
        </w:r>
      </w:hyperlink>
      <w:r w:rsidR="00DB2982">
        <w:rPr>
          <w:rFonts w:asciiTheme="minorHAnsi" w:hAnsiTheme="minorHAnsi"/>
        </w:rPr>
        <w:t xml:space="preserve"> </w:t>
      </w:r>
      <w:r w:rsidR="00BB20E1">
        <w:rPr>
          <w:rFonts w:asciiTheme="minorHAnsi" w:hAnsiTheme="minorHAnsi"/>
        </w:rPr>
        <w:t xml:space="preserve">by email </w:t>
      </w:r>
      <w:r w:rsidR="00642700" w:rsidRPr="00786AD7">
        <w:rPr>
          <w:rFonts w:asciiTheme="minorHAnsi" w:hAnsiTheme="minorHAnsi"/>
        </w:rPr>
        <w:t xml:space="preserve">or by telephone at </w:t>
      </w:r>
      <w:r w:rsidR="00DB2982">
        <w:rPr>
          <w:rFonts w:asciiTheme="minorHAnsi" w:hAnsiTheme="minorHAnsi"/>
        </w:rPr>
        <w:t>(</w:t>
      </w:r>
      <w:r w:rsidR="00642700" w:rsidRPr="00786AD7">
        <w:rPr>
          <w:rFonts w:asciiTheme="minorHAnsi" w:hAnsiTheme="minorHAnsi"/>
        </w:rPr>
        <w:t>609</w:t>
      </w:r>
      <w:r w:rsidR="00DB2982">
        <w:rPr>
          <w:rFonts w:asciiTheme="minorHAnsi" w:hAnsiTheme="minorHAnsi"/>
        </w:rPr>
        <w:t xml:space="preserve">) </w:t>
      </w:r>
      <w:r w:rsidR="00642700" w:rsidRPr="00786AD7">
        <w:rPr>
          <w:rFonts w:asciiTheme="minorHAnsi" w:hAnsiTheme="minorHAnsi"/>
        </w:rPr>
        <w:t>651-9455.</w:t>
      </w:r>
    </w:p>
    <w:p w:rsidR="008E444A" w:rsidRDefault="008E444A" w:rsidP="0039275D">
      <w:pPr>
        <w:ind w:left="-90"/>
        <w:rPr>
          <w:rStyle w:val="BodyCopy"/>
        </w:rPr>
      </w:pPr>
    </w:p>
    <w:p w:rsidR="00642700" w:rsidRPr="00D709D0" w:rsidRDefault="005C503B" w:rsidP="00A26FA8">
      <w:pPr>
        <w:pStyle w:val="Heading3"/>
        <w:spacing w:before="0" w:after="0"/>
        <w:rPr>
          <w:rFonts w:ascii="Tahoma" w:hAnsi="Tahoma" w:cs="Tahoma"/>
          <w:i w:val="0"/>
          <w:szCs w:val="22"/>
        </w:rPr>
      </w:pPr>
      <w:r>
        <w:rPr>
          <w:rFonts w:ascii="Tahoma" w:hAnsi="Tahoma" w:cs="Tahoma"/>
          <w:i w:val="0"/>
          <w:szCs w:val="22"/>
        </w:rPr>
        <w:t>Background Information</w:t>
      </w:r>
    </w:p>
    <w:p w:rsidR="009A62D6" w:rsidRDefault="009A62D6" w:rsidP="0048146A">
      <w:pPr>
        <w:pStyle w:val="Heading"/>
        <w:spacing w:before="0" w:after="0"/>
        <w:rPr>
          <w:rFonts w:asciiTheme="minorHAnsi" w:hAnsiTheme="minorHAnsi"/>
          <w:sz w:val="24"/>
          <w:szCs w:val="24"/>
        </w:rPr>
      </w:pPr>
    </w:p>
    <w:p w:rsidR="00964423" w:rsidRPr="001E28B5" w:rsidRDefault="00964423" w:rsidP="00964423">
      <w:pPr>
        <w:pStyle w:val="Heading"/>
        <w:spacing w:before="0" w:after="0"/>
        <w:rPr>
          <w:rFonts w:asciiTheme="minorHAnsi" w:hAnsiTheme="minorHAnsi"/>
          <w:b w:val="0"/>
          <w:sz w:val="24"/>
          <w:szCs w:val="24"/>
        </w:rPr>
      </w:pPr>
      <w:r w:rsidRPr="001E28B5">
        <w:rPr>
          <w:rFonts w:asciiTheme="minorHAnsi" w:hAnsiTheme="minorHAnsi"/>
          <w:b w:val="0"/>
          <w:sz w:val="24"/>
          <w:szCs w:val="24"/>
        </w:rPr>
        <w:t>EOP-004-2 was posted for a 45-day formal comment period and</w:t>
      </w:r>
      <w:r w:rsidR="005C503B">
        <w:rPr>
          <w:rFonts w:asciiTheme="minorHAnsi" w:hAnsiTheme="minorHAnsi"/>
          <w:b w:val="0"/>
          <w:sz w:val="24"/>
          <w:szCs w:val="24"/>
        </w:rPr>
        <w:t xml:space="preserve"> initial ballot from October 28 through </w:t>
      </w:r>
      <w:r w:rsidRPr="001E28B5">
        <w:rPr>
          <w:rFonts w:asciiTheme="minorHAnsi" w:hAnsiTheme="minorHAnsi"/>
          <w:b w:val="0"/>
          <w:sz w:val="24"/>
          <w:szCs w:val="24"/>
        </w:rPr>
        <w:t>December 12, 2011.  The DSR SDT received comments from stakeholders to improve the readability and clarity of the requirements of the standard.  The revisions that were made to the standard are summarized in the following paragraphs.</w:t>
      </w:r>
    </w:p>
    <w:p w:rsidR="00964423" w:rsidRPr="001E28B5" w:rsidRDefault="00964423" w:rsidP="00964423">
      <w:pPr>
        <w:pStyle w:val="Heading"/>
        <w:spacing w:before="0" w:after="0"/>
        <w:rPr>
          <w:rFonts w:asciiTheme="minorHAnsi" w:hAnsiTheme="minorHAnsi"/>
          <w:b w:val="0"/>
          <w:sz w:val="24"/>
          <w:szCs w:val="24"/>
        </w:rPr>
      </w:pPr>
    </w:p>
    <w:p w:rsidR="00D7580F" w:rsidRPr="00763862" w:rsidRDefault="00D7580F" w:rsidP="00D7580F">
      <w:pPr>
        <w:pStyle w:val="Heading"/>
        <w:spacing w:before="0" w:after="0"/>
        <w:rPr>
          <w:rFonts w:ascii="Calibri" w:hAnsi="Calibri"/>
          <w:i/>
          <w:sz w:val="24"/>
          <w:szCs w:val="24"/>
        </w:rPr>
      </w:pPr>
      <w:r w:rsidRPr="00763862">
        <w:rPr>
          <w:rFonts w:ascii="Calibri" w:hAnsi="Calibri"/>
          <w:i/>
          <w:sz w:val="24"/>
          <w:szCs w:val="24"/>
        </w:rPr>
        <w:t>Purpose Statement</w:t>
      </w:r>
    </w:p>
    <w:p w:rsidR="00D7580F" w:rsidRPr="00D7580F" w:rsidRDefault="00D7580F" w:rsidP="00D7580F">
      <w:pPr>
        <w:pStyle w:val="Heading"/>
        <w:spacing w:before="0" w:after="0"/>
        <w:rPr>
          <w:rFonts w:asciiTheme="minorHAnsi" w:hAnsiTheme="minorHAnsi"/>
          <w:b w:val="0"/>
          <w:sz w:val="24"/>
          <w:szCs w:val="24"/>
        </w:rPr>
      </w:pPr>
      <w:r w:rsidRPr="00D7580F">
        <w:rPr>
          <w:rFonts w:asciiTheme="minorHAnsi" w:hAnsiTheme="minorHAnsi"/>
          <w:b w:val="0"/>
          <w:sz w:val="24"/>
          <w:szCs w:val="24"/>
        </w:rPr>
        <w:t>The DSR SDT revised the purpose statement to remove ambiguous language “with the potential to impact reliability</w:t>
      </w:r>
      <w:r w:rsidR="005C503B">
        <w:rPr>
          <w:rFonts w:asciiTheme="minorHAnsi" w:hAnsiTheme="minorHAnsi"/>
          <w:b w:val="0"/>
          <w:sz w:val="24"/>
          <w:szCs w:val="24"/>
        </w:rPr>
        <w:t>.</w:t>
      </w:r>
      <w:r w:rsidRPr="00D7580F">
        <w:rPr>
          <w:rFonts w:asciiTheme="minorHAnsi" w:hAnsiTheme="minorHAnsi"/>
          <w:b w:val="0"/>
          <w:sz w:val="24"/>
          <w:szCs w:val="24"/>
        </w:rPr>
        <w:t>”  The Purpose statement now reads:</w:t>
      </w:r>
    </w:p>
    <w:p w:rsidR="00D7580F" w:rsidRPr="00D7580F" w:rsidRDefault="00D7580F" w:rsidP="00D7580F">
      <w:pPr>
        <w:pStyle w:val="Heading"/>
        <w:spacing w:before="0" w:after="0"/>
        <w:ind w:left="720"/>
        <w:rPr>
          <w:rFonts w:asciiTheme="minorHAnsi" w:hAnsiTheme="minorHAnsi"/>
          <w:b w:val="0"/>
          <w:sz w:val="24"/>
          <w:szCs w:val="24"/>
        </w:rPr>
      </w:pPr>
    </w:p>
    <w:p w:rsidR="00D7580F" w:rsidRPr="00D7580F" w:rsidRDefault="00D7580F" w:rsidP="00D7580F">
      <w:pPr>
        <w:pStyle w:val="Heading"/>
        <w:spacing w:before="0" w:after="0"/>
        <w:ind w:left="720"/>
        <w:rPr>
          <w:rFonts w:asciiTheme="minorHAnsi" w:hAnsiTheme="minorHAnsi"/>
          <w:b w:val="0"/>
          <w:sz w:val="24"/>
          <w:szCs w:val="24"/>
        </w:rPr>
      </w:pPr>
      <w:proofErr w:type="gramStart"/>
      <w:r w:rsidRPr="00D7580F">
        <w:rPr>
          <w:rFonts w:asciiTheme="minorHAnsi" w:hAnsiTheme="minorHAnsi"/>
          <w:b w:val="0"/>
          <w:sz w:val="24"/>
          <w:szCs w:val="24"/>
        </w:rPr>
        <w:t>“To improve the reliability of the Bulk Electric System by requiring the reporting of events by Responsible Entities.”</w:t>
      </w:r>
      <w:proofErr w:type="gramEnd"/>
    </w:p>
    <w:p w:rsidR="00D7580F" w:rsidRPr="00D7580F" w:rsidRDefault="00D7580F" w:rsidP="00D7580F">
      <w:pPr>
        <w:rPr>
          <w:rFonts w:asciiTheme="minorHAnsi" w:hAnsiTheme="minorHAnsi"/>
          <w:bCs/>
        </w:rPr>
      </w:pPr>
    </w:p>
    <w:p w:rsidR="00D7580F" w:rsidRPr="00763862" w:rsidRDefault="00D7580F" w:rsidP="00D7580F">
      <w:pPr>
        <w:pStyle w:val="Heading"/>
        <w:spacing w:before="0" w:after="0"/>
        <w:rPr>
          <w:rFonts w:ascii="Calibri" w:hAnsi="Calibri"/>
          <w:i/>
          <w:sz w:val="24"/>
          <w:szCs w:val="24"/>
        </w:rPr>
      </w:pPr>
      <w:r w:rsidRPr="00763862">
        <w:rPr>
          <w:rFonts w:ascii="Calibri" w:hAnsi="Calibri"/>
          <w:i/>
          <w:sz w:val="24"/>
          <w:szCs w:val="24"/>
        </w:rPr>
        <w:t>Operating Plan</w:t>
      </w:r>
    </w:p>
    <w:p w:rsidR="005C503B" w:rsidRDefault="00D7580F" w:rsidP="005C503B">
      <w:pPr>
        <w:pStyle w:val="Heading"/>
        <w:spacing w:before="0" w:after="0"/>
        <w:rPr>
          <w:rFonts w:asciiTheme="minorHAnsi" w:hAnsiTheme="minorHAnsi"/>
          <w:b w:val="0"/>
          <w:sz w:val="24"/>
          <w:szCs w:val="24"/>
        </w:rPr>
      </w:pPr>
      <w:r w:rsidRPr="00D7580F">
        <w:rPr>
          <w:rFonts w:asciiTheme="minorHAnsi" w:hAnsiTheme="minorHAnsi"/>
          <w:b w:val="0"/>
          <w:sz w:val="24"/>
          <w:szCs w:val="24"/>
        </w:rPr>
        <w:t>Based on stakeholder comments, Requirement R1 was revised for clarity.  Part 1.1 was revised to replace the word “identifying” with “recognizing” and Part 1.2 was eliminated.  This also aligns the language of the standard with FERC Order 693, Paragraph 471.</w:t>
      </w:r>
    </w:p>
    <w:p w:rsidR="00D7580F" w:rsidRPr="00D7580F" w:rsidRDefault="00D7580F" w:rsidP="005C503B">
      <w:pPr>
        <w:pStyle w:val="Heading"/>
        <w:spacing w:before="0" w:after="0"/>
        <w:ind w:left="720"/>
        <w:rPr>
          <w:rFonts w:asciiTheme="minorHAnsi" w:hAnsiTheme="minorHAnsi"/>
          <w:b w:val="0"/>
          <w:sz w:val="24"/>
          <w:szCs w:val="24"/>
        </w:rPr>
      </w:pPr>
      <w:r w:rsidRPr="00D7580F">
        <w:rPr>
          <w:rFonts w:asciiTheme="minorHAnsi" w:hAnsiTheme="minorHAnsi"/>
          <w:b w:val="0"/>
          <w:sz w:val="24"/>
          <w:szCs w:val="24"/>
        </w:rPr>
        <w:t xml:space="preserve">“(2) </w:t>
      </w:r>
      <w:proofErr w:type="gramStart"/>
      <w:r w:rsidRPr="00D7580F">
        <w:rPr>
          <w:rFonts w:asciiTheme="minorHAnsi" w:hAnsiTheme="minorHAnsi"/>
          <w:b w:val="0"/>
          <w:sz w:val="24"/>
          <w:szCs w:val="24"/>
        </w:rPr>
        <w:t>specify</w:t>
      </w:r>
      <w:proofErr w:type="gramEnd"/>
      <w:r w:rsidRPr="00D7580F">
        <w:rPr>
          <w:rFonts w:asciiTheme="minorHAnsi" w:hAnsiTheme="minorHAnsi"/>
          <w:b w:val="0"/>
          <w:sz w:val="24"/>
          <w:szCs w:val="24"/>
        </w:rPr>
        <w:t xml:space="preserve"> baseline requirements regarding what issues should be addressed in the </w:t>
      </w:r>
      <w:r w:rsidRPr="005C503B">
        <w:rPr>
          <w:rFonts w:asciiTheme="minorHAnsi" w:hAnsiTheme="minorHAnsi"/>
          <w:sz w:val="24"/>
          <w:szCs w:val="24"/>
        </w:rPr>
        <w:t xml:space="preserve">procedures for recognizing </w:t>
      </w:r>
      <w:r w:rsidRPr="00D7580F">
        <w:rPr>
          <w:rFonts w:asciiTheme="minorHAnsi" w:hAnsiTheme="minorHAnsi"/>
          <w:b w:val="0"/>
          <w:sz w:val="24"/>
          <w:szCs w:val="24"/>
        </w:rPr>
        <w:t>{emphasis added} sabotage events and making personnel aware of such events;”</w:t>
      </w:r>
    </w:p>
    <w:p w:rsidR="00D7580F" w:rsidRPr="00DA336F" w:rsidRDefault="00D7580F" w:rsidP="00D7580F">
      <w:pPr>
        <w:pStyle w:val="Heading"/>
        <w:spacing w:before="0" w:after="0"/>
        <w:ind w:left="720"/>
        <w:rPr>
          <w:rFonts w:ascii="Calibri" w:hAnsi="Calibri"/>
          <w:b w:val="0"/>
          <w:sz w:val="24"/>
          <w:szCs w:val="24"/>
        </w:rPr>
      </w:pPr>
    </w:p>
    <w:p w:rsidR="00D7580F" w:rsidRPr="00D7580F" w:rsidRDefault="00D7580F" w:rsidP="00D7580F">
      <w:pPr>
        <w:pStyle w:val="Heading"/>
        <w:spacing w:before="0" w:after="0"/>
        <w:rPr>
          <w:rFonts w:asciiTheme="minorHAnsi" w:hAnsiTheme="minorHAnsi"/>
          <w:b w:val="0"/>
          <w:sz w:val="24"/>
          <w:szCs w:val="24"/>
        </w:rPr>
      </w:pPr>
      <w:r w:rsidRPr="00D7580F">
        <w:rPr>
          <w:rFonts w:asciiTheme="minorHAnsi" w:hAnsiTheme="minorHAnsi"/>
          <w:b w:val="0"/>
          <w:sz w:val="24"/>
          <w:szCs w:val="24"/>
        </w:rPr>
        <w:t>Requirement R1, Part 1.3 (now Part 1.2) was revised by eliminating the phrase “as appropriate” and adding language indicating that the Responsible Entity is to define its process for reporting and with whom to report events.  Part 1.2 now reads:</w:t>
      </w:r>
    </w:p>
    <w:p w:rsidR="00D7580F" w:rsidRPr="00D7580F" w:rsidRDefault="00D7580F" w:rsidP="00D7580F">
      <w:pPr>
        <w:pStyle w:val="Heading"/>
        <w:spacing w:before="0" w:after="0"/>
        <w:rPr>
          <w:rFonts w:asciiTheme="minorHAnsi" w:hAnsiTheme="minorHAnsi"/>
          <w:b w:val="0"/>
          <w:sz w:val="24"/>
          <w:szCs w:val="24"/>
        </w:rPr>
      </w:pPr>
    </w:p>
    <w:p w:rsidR="00D7580F" w:rsidRPr="00D7580F" w:rsidRDefault="00D7580F" w:rsidP="00D7580F">
      <w:pPr>
        <w:pStyle w:val="ListParagraph"/>
        <w:autoSpaceDE w:val="0"/>
        <w:autoSpaceDN w:val="0"/>
        <w:adjustRightInd w:val="0"/>
        <w:spacing w:after="120"/>
        <w:ind w:left="792"/>
        <w:contextualSpacing w:val="0"/>
        <w:rPr>
          <w:rFonts w:asciiTheme="minorHAnsi" w:hAnsiTheme="minorHAnsi"/>
          <w:bCs/>
        </w:rPr>
      </w:pPr>
      <w:r w:rsidRPr="00D7580F">
        <w:rPr>
          <w:rFonts w:asciiTheme="minorHAnsi" w:hAnsiTheme="minorHAnsi"/>
          <w:bCs/>
        </w:rPr>
        <w:t>“1.2</w:t>
      </w:r>
      <w:r w:rsidRPr="00D7580F">
        <w:rPr>
          <w:rFonts w:asciiTheme="minorHAnsi" w:hAnsiTheme="minorHAnsi"/>
          <w:bCs/>
        </w:rPr>
        <w:tab/>
        <w:t>A process for communicating  each of the applicable events listed in EOP-004 Attachment 1 in accordance with the timeframes specified in EOP-004 Attachment 1 to the Electric Reliability Organization and other organizations needed for the event type; i.e. the Regional Entity; company personnel; the Responsible Entity’s Reliability Coordinator; law enforcement</w:t>
      </w:r>
      <w:r w:rsidR="0018116F">
        <w:rPr>
          <w:rFonts w:asciiTheme="minorHAnsi" w:hAnsiTheme="minorHAnsi"/>
          <w:bCs/>
        </w:rPr>
        <w:t>,</w:t>
      </w:r>
      <w:r w:rsidRPr="00D7580F">
        <w:rPr>
          <w:rFonts w:asciiTheme="minorHAnsi" w:hAnsiTheme="minorHAnsi"/>
          <w:bCs/>
        </w:rPr>
        <w:t xml:space="preserve"> governmental or provincial agencies.”</w:t>
      </w:r>
    </w:p>
    <w:p w:rsidR="00D7580F" w:rsidRPr="00D7580F" w:rsidRDefault="00D7580F" w:rsidP="00D7580F">
      <w:pPr>
        <w:pStyle w:val="Heading"/>
        <w:spacing w:before="0" w:after="0"/>
        <w:rPr>
          <w:rFonts w:asciiTheme="minorHAnsi" w:hAnsiTheme="minorHAnsi"/>
          <w:b w:val="0"/>
          <w:sz w:val="24"/>
          <w:szCs w:val="24"/>
        </w:rPr>
      </w:pPr>
      <w:r w:rsidRPr="00D7580F">
        <w:rPr>
          <w:rFonts w:asciiTheme="minorHAnsi" w:hAnsiTheme="minorHAnsi"/>
          <w:b w:val="0"/>
          <w:sz w:val="24"/>
          <w:szCs w:val="24"/>
        </w:rPr>
        <w:lastRenderedPageBreak/>
        <w:t xml:space="preserve">The SDT envisions that most entities will only need to slightly modify their existing CIP-001 Sabotage Reporting procedures to comply with the Operating Plan requirement in this proposed standard.  As many of the features of both sabotage reporting procedures and the Operating Plan are substantially similar, the SDT feels that some information in the sabotage reporting procedures may need to updated and verified.  </w:t>
      </w:r>
    </w:p>
    <w:p w:rsidR="00D7580F" w:rsidRPr="00DA336F" w:rsidRDefault="00D7580F" w:rsidP="00D7580F">
      <w:pPr>
        <w:pStyle w:val="Heading"/>
        <w:spacing w:before="0" w:after="0"/>
        <w:rPr>
          <w:rFonts w:ascii="Calibri" w:hAnsi="Calibri"/>
          <w:b w:val="0"/>
          <w:sz w:val="24"/>
          <w:szCs w:val="24"/>
        </w:rPr>
      </w:pPr>
    </w:p>
    <w:p w:rsidR="00D7580F" w:rsidRPr="00763862" w:rsidRDefault="00D7580F" w:rsidP="00D7580F">
      <w:pPr>
        <w:pStyle w:val="Heading"/>
        <w:spacing w:before="0" w:after="0"/>
        <w:rPr>
          <w:rFonts w:ascii="Calibri" w:hAnsi="Calibri"/>
          <w:i/>
          <w:sz w:val="24"/>
          <w:szCs w:val="24"/>
        </w:rPr>
      </w:pPr>
      <w:r w:rsidRPr="00763862">
        <w:rPr>
          <w:rFonts w:ascii="Calibri" w:hAnsi="Calibri"/>
          <w:i/>
          <w:sz w:val="24"/>
          <w:szCs w:val="24"/>
        </w:rPr>
        <w:t>Operating Plan Review and Communications Testing</w:t>
      </w:r>
    </w:p>
    <w:p w:rsidR="00D7580F" w:rsidRPr="00D7580F" w:rsidRDefault="00D7580F" w:rsidP="00D7580F">
      <w:pPr>
        <w:pStyle w:val="Heading"/>
        <w:spacing w:before="0" w:after="0"/>
        <w:rPr>
          <w:rFonts w:asciiTheme="minorHAnsi" w:hAnsiTheme="minorHAnsi"/>
          <w:b w:val="0"/>
          <w:sz w:val="24"/>
          <w:szCs w:val="24"/>
        </w:rPr>
      </w:pPr>
      <w:r w:rsidRPr="00D7580F">
        <w:rPr>
          <w:rFonts w:asciiTheme="minorHAnsi" w:hAnsiTheme="minorHAnsi"/>
          <w:b w:val="0"/>
          <w:sz w:val="24"/>
          <w:szCs w:val="24"/>
        </w:rPr>
        <w:t>Requirement R1, Part 1.4 was removed and Requirement 1, Part, 1.5 was separated out as new Requirement 4.  Requirement R4 was revised and is now R3.  FERC Order 693, Paragraph 466 includes provisions for periodic review and update of the Operating Plan:</w:t>
      </w:r>
    </w:p>
    <w:p w:rsidR="00D7580F" w:rsidRPr="00D7580F" w:rsidRDefault="00D7580F" w:rsidP="00D7580F">
      <w:pPr>
        <w:pStyle w:val="Heading"/>
        <w:spacing w:before="0" w:after="0"/>
        <w:rPr>
          <w:rFonts w:asciiTheme="minorHAnsi" w:hAnsiTheme="minorHAnsi"/>
          <w:b w:val="0"/>
          <w:sz w:val="24"/>
          <w:szCs w:val="24"/>
        </w:rPr>
      </w:pPr>
    </w:p>
    <w:p w:rsidR="00D7580F" w:rsidRPr="00D7580F" w:rsidRDefault="00D7580F" w:rsidP="00D7580F">
      <w:pPr>
        <w:autoSpaceDE w:val="0"/>
        <w:autoSpaceDN w:val="0"/>
        <w:adjustRightInd w:val="0"/>
        <w:ind w:left="720"/>
        <w:rPr>
          <w:rFonts w:asciiTheme="minorHAnsi" w:hAnsiTheme="minorHAnsi"/>
          <w:bCs/>
        </w:rPr>
      </w:pPr>
      <w:r w:rsidRPr="00D7580F">
        <w:rPr>
          <w:rFonts w:asciiTheme="minorHAnsi" w:hAnsiTheme="minorHAnsi"/>
          <w:bCs/>
        </w:rPr>
        <w:t>“466. The Commission affirms the NOPR directive and directs the ERO to incorporate a periodic review or updating of the sabotage reporting procedures and for the periodic testing of the sabotage reporting procedures.”</w:t>
      </w:r>
    </w:p>
    <w:p w:rsidR="00D7580F" w:rsidRPr="00DA336F" w:rsidRDefault="00D7580F" w:rsidP="00D7580F">
      <w:pPr>
        <w:pStyle w:val="Heading"/>
        <w:spacing w:before="0" w:after="0"/>
        <w:ind w:left="-90"/>
        <w:rPr>
          <w:rFonts w:ascii="Calibri" w:hAnsi="Calibri"/>
          <w:b w:val="0"/>
          <w:sz w:val="24"/>
          <w:szCs w:val="24"/>
        </w:rPr>
      </w:pPr>
    </w:p>
    <w:p w:rsidR="00D7580F" w:rsidRPr="00DA336F" w:rsidRDefault="00D7580F" w:rsidP="00D7580F">
      <w:pPr>
        <w:pStyle w:val="Heading"/>
        <w:spacing w:before="0" w:after="0"/>
        <w:ind w:left="-90"/>
        <w:rPr>
          <w:rFonts w:ascii="Calibri" w:hAnsi="Calibri"/>
          <w:b w:val="0"/>
          <w:sz w:val="24"/>
          <w:szCs w:val="24"/>
        </w:rPr>
      </w:pPr>
      <w:r w:rsidRPr="00DA336F">
        <w:rPr>
          <w:rFonts w:ascii="Calibri" w:hAnsi="Calibri"/>
          <w:b w:val="0"/>
          <w:sz w:val="24"/>
          <w:szCs w:val="24"/>
        </w:rPr>
        <w:t xml:space="preserve">Requirement </w:t>
      </w:r>
      <w:r>
        <w:rPr>
          <w:rFonts w:ascii="Calibri" w:hAnsi="Calibri"/>
          <w:b w:val="0"/>
          <w:sz w:val="24"/>
          <w:szCs w:val="24"/>
        </w:rPr>
        <w:t>R3</w:t>
      </w:r>
      <w:r w:rsidRPr="00DA336F">
        <w:rPr>
          <w:rFonts w:ascii="Calibri" w:hAnsi="Calibri"/>
          <w:b w:val="0"/>
          <w:sz w:val="24"/>
          <w:szCs w:val="24"/>
        </w:rPr>
        <w:t xml:space="preserve"> </w:t>
      </w:r>
      <w:r>
        <w:rPr>
          <w:rFonts w:ascii="Calibri" w:hAnsi="Calibri"/>
          <w:b w:val="0"/>
          <w:sz w:val="24"/>
          <w:szCs w:val="24"/>
        </w:rPr>
        <w:t>requires</w:t>
      </w:r>
      <w:r w:rsidRPr="00DA336F">
        <w:rPr>
          <w:rFonts w:ascii="Calibri" w:hAnsi="Calibri"/>
          <w:b w:val="0"/>
          <w:sz w:val="24"/>
          <w:szCs w:val="24"/>
        </w:rPr>
        <w:t xml:space="preserve"> an annual test of the communication portion of Requirement R1</w:t>
      </w:r>
      <w:r>
        <w:rPr>
          <w:rFonts w:ascii="Calibri" w:hAnsi="Calibri"/>
          <w:b w:val="0"/>
          <w:sz w:val="24"/>
          <w:szCs w:val="24"/>
        </w:rPr>
        <w:t xml:space="preserve"> while Requirement R4 requires an annual review of the Operating Plan.</w:t>
      </w:r>
      <w:r w:rsidRPr="00DA336F">
        <w:rPr>
          <w:rFonts w:ascii="Calibri" w:hAnsi="Calibri"/>
          <w:b w:val="0"/>
          <w:sz w:val="24"/>
          <w:szCs w:val="24"/>
        </w:rPr>
        <w:t>:</w:t>
      </w:r>
    </w:p>
    <w:p w:rsidR="00D7580F" w:rsidRPr="00DA336F" w:rsidRDefault="00D7580F" w:rsidP="00D7580F">
      <w:pPr>
        <w:pStyle w:val="Heading"/>
        <w:spacing w:before="0" w:after="0"/>
        <w:ind w:left="-90"/>
        <w:rPr>
          <w:rFonts w:ascii="Calibri" w:hAnsi="Calibri"/>
          <w:b w:val="0"/>
          <w:sz w:val="24"/>
          <w:szCs w:val="24"/>
        </w:rPr>
      </w:pPr>
    </w:p>
    <w:p w:rsidR="00D7580F" w:rsidRDefault="00D7580F" w:rsidP="00D7580F">
      <w:pPr>
        <w:pStyle w:val="Heading"/>
        <w:spacing w:before="0" w:after="0"/>
        <w:ind w:left="720"/>
        <w:rPr>
          <w:rFonts w:ascii="Calibri" w:hAnsi="Calibri"/>
          <w:b w:val="0"/>
          <w:sz w:val="24"/>
          <w:szCs w:val="24"/>
        </w:rPr>
      </w:pPr>
      <w:r w:rsidRPr="00DA336F">
        <w:rPr>
          <w:rFonts w:ascii="Calibri" w:hAnsi="Calibri"/>
          <w:b w:val="0"/>
          <w:sz w:val="24"/>
          <w:szCs w:val="24"/>
        </w:rPr>
        <w:t>“</w:t>
      </w:r>
      <w:r>
        <w:rPr>
          <w:rFonts w:ascii="Calibri" w:hAnsi="Calibri"/>
          <w:b w:val="0"/>
          <w:sz w:val="24"/>
          <w:szCs w:val="24"/>
        </w:rPr>
        <w:t xml:space="preserve">R3.  </w:t>
      </w:r>
      <w:r w:rsidRPr="007F7DB7">
        <w:rPr>
          <w:rFonts w:ascii="Calibri" w:hAnsi="Calibri"/>
          <w:b w:val="0"/>
          <w:sz w:val="24"/>
          <w:szCs w:val="24"/>
        </w:rPr>
        <w:t>Each Responsible Entity shall conduct an annual test, not including notification to the Electric Reliability Organization, of the communications process in Part 1.2.</w:t>
      </w:r>
      <w:r w:rsidRPr="00DA336F">
        <w:rPr>
          <w:rFonts w:ascii="Calibri" w:hAnsi="Calibri"/>
          <w:b w:val="0"/>
          <w:sz w:val="24"/>
          <w:szCs w:val="24"/>
        </w:rPr>
        <w:t xml:space="preserve">”  </w:t>
      </w:r>
    </w:p>
    <w:p w:rsidR="00D7580F" w:rsidRDefault="00D7580F" w:rsidP="00D7580F">
      <w:pPr>
        <w:pStyle w:val="Heading"/>
        <w:spacing w:before="0" w:after="0"/>
        <w:ind w:left="720"/>
        <w:rPr>
          <w:rFonts w:ascii="Calibri" w:hAnsi="Calibri"/>
          <w:b w:val="0"/>
          <w:sz w:val="24"/>
          <w:szCs w:val="24"/>
        </w:rPr>
      </w:pPr>
    </w:p>
    <w:p w:rsidR="00D7580F" w:rsidRPr="00DA336F" w:rsidRDefault="00D7580F" w:rsidP="00D7580F">
      <w:pPr>
        <w:pStyle w:val="Heading"/>
        <w:spacing w:before="0" w:after="0"/>
        <w:ind w:left="720"/>
        <w:rPr>
          <w:rFonts w:ascii="Calibri" w:hAnsi="Calibri"/>
          <w:b w:val="0"/>
          <w:sz w:val="24"/>
          <w:szCs w:val="24"/>
        </w:rPr>
      </w:pPr>
      <w:r>
        <w:rPr>
          <w:rFonts w:ascii="Calibri" w:hAnsi="Calibri"/>
          <w:b w:val="0"/>
          <w:sz w:val="24"/>
          <w:szCs w:val="24"/>
        </w:rPr>
        <w:t xml:space="preserve">“R4.  </w:t>
      </w:r>
      <w:r w:rsidRPr="001E0CF8">
        <w:rPr>
          <w:rFonts w:ascii="Calibri" w:hAnsi="Calibri"/>
          <w:b w:val="0"/>
          <w:sz w:val="24"/>
          <w:szCs w:val="24"/>
        </w:rPr>
        <w:t>Each Responsible Entity shall conduct an annual review of the event reporting Ope</w:t>
      </w:r>
      <w:r>
        <w:rPr>
          <w:rFonts w:ascii="Calibri" w:hAnsi="Calibri"/>
          <w:b w:val="0"/>
          <w:sz w:val="24"/>
          <w:szCs w:val="24"/>
        </w:rPr>
        <w:t xml:space="preserve">rating Plan in Requirement R1.” </w:t>
      </w:r>
      <w:r w:rsidRPr="001E0CF8">
        <w:rPr>
          <w:rFonts w:ascii="Calibri" w:hAnsi="Calibri"/>
          <w:b w:val="0"/>
          <w:sz w:val="24"/>
          <w:szCs w:val="24"/>
        </w:rPr>
        <w:t xml:space="preserve"> </w:t>
      </w:r>
    </w:p>
    <w:p w:rsidR="00D7580F" w:rsidRPr="00DA336F" w:rsidRDefault="00D7580F" w:rsidP="00D7580F">
      <w:pPr>
        <w:pStyle w:val="Heading"/>
        <w:spacing w:before="0" w:after="0"/>
        <w:ind w:left="720"/>
        <w:rPr>
          <w:rFonts w:ascii="Calibri" w:hAnsi="Calibri"/>
          <w:b w:val="0"/>
          <w:sz w:val="24"/>
          <w:szCs w:val="24"/>
        </w:rPr>
      </w:pPr>
    </w:p>
    <w:p w:rsidR="00D7580F" w:rsidRPr="00DA336F" w:rsidRDefault="00D7580F" w:rsidP="00D7580F">
      <w:pPr>
        <w:pStyle w:val="Heading"/>
        <w:spacing w:before="0" w:after="0"/>
        <w:rPr>
          <w:rFonts w:ascii="Calibri" w:hAnsi="Calibri"/>
          <w:b w:val="0"/>
          <w:sz w:val="24"/>
          <w:szCs w:val="24"/>
        </w:rPr>
      </w:pPr>
      <w:r w:rsidRPr="00DA336F">
        <w:rPr>
          <w:rFonts w:ascii="Calibri" w:hAnsi="Calibri"/>
          <w:b w:val="0"/>
          <w:sz w:val="24"/>
          <w:szCs w:val="24"/>
        </w:rPr>
        <w:t xml:space="preserve">The DSR SDT envisions that </w:t>
      </w:r>
      <w:r>
        <w:rPr>
          <w:rFonts w:ascii="Calibri" w:hAnsi="Calibri"/>
          <w:b w:val="0"/>
          <w:sz w:val="24"/>
          <w:szCs w:val="24"/>
        </w:rPr>
        <w:t>the annual test</w:t>
      </w:r>
      <w:r w:rsidRPr="00DA336F">
        <w:rPr>
          <w:rFonts w:ascii="Calibri" w:hAnsi="Calibri"/>
          <w:b w:val="0"/>
          <w:sz w:val="24"/>
          <w:szCs w:val="24"/>
        </w:rPr>
        <w:t xml:space="preserve"> will include verification that communication information contained in the Operating Plan is correct.  As an example, the annual update of the Operating Plan could include calling “others as defined in the Responsibility Entity’s Operating Plan” (see Part 1.2) to verify that their </w:t>
      </w:r>
      <w:r>
        <w:rPr>
          <w:rFonts w:ascii="Calibri" w:hAnsi="Calibri"/>
          <w:b w:val="0"/>
          <w:sz w:val="24"/>
          <w:szCs w:val="24"/>
        </w:rPr>
        <w:t>contact information is up to date</w:t>
      </w:r>
      <w:r w:rsidRPr="00DA336F">
        <w:rPr>
          <w:rFonts w:ascii="Calibri" w:hAnsi="Calibri"/>
          <w:b w:val="0"/>
          <w:sz w:val="24"/>
          <w:szCs w:val="24"/>
        </w:rPr>
        <w:t xml:space="preserve">.  If any discrepancies are noted, the Operating Plan would be updated. Note that </w:t>
      </w:r>
      <w:r>
        <w:rPr>
          <w:rFonts w:ascii="Calibri" w:hAnsi="Calibri"/>
          <w:b w:val="0"/>
          <w:sz w:val="24"/>
          <w:szCs w:val="24"/>
        </w:rPr>
        <w:t xml:space="preserve">there is no requirement to test the </w:t>
      </w:r>
      <w:r w:rsidRPr="00DA336F">
        <w:rPr>
          <w:rFonts w:ascii="Calibri" w:hAnsi="Calibri"/>
          <w:b w:val="0"/>
          <w:sz w:val="24"/>
          <w:szCs w:val="24"/>
        </w:rPr>
        <w:t>reporting of events to the Electric Reliability Organization and the Responsible Entity’s Reliability Coordinator.</w:t>
      </w:r>
    </w:p>
    <w:p w:rsidR="00D7580F" w:rsidRPr="00DA336F" w:rsidRDefault="00D7580F" w:rsidP="00D7580F">
      <w:pPr>
        <w:pStyle w:val="Heading"/>
        <w:spacing w:before="0" w:after="0"/>
        <w:rPr>
          <w:rFonts w:ascii="Calibri" w:hAnsi="Calibri"/>
          <w:b w:val="0"/>
          <w:sz w:val="24"/>
          <w:szCs w:val="24"/>
        </w:rPr>
      </w:pPr>
    </w:p>
    <w:p w:rsidR="00D7580F" w:rsidRPr="00763862" w:rsidRDefault="00D7580F" w:rsidP="00D7580F">
      <w:pPr>
        <w:pStyle w:val="Heading"/>
        <w:spacing w:before="0" w:after="0"/>
        <w:rPr>
          <w:rFonts w:ascii="Calibri" w:hAnsi="Calibri"/>
          <w:i/>
          <w:sz w:val="24"/>
          <w:szCs w:val="24"/>
        </w:rPr>
      </w:pPr>
      <w:r w:rsidRPr="00763862">
        <w:rPr>
          <w:rFonts w:ascii="Calibri" w:hAnsi="Calibri"/>
          <w:i/>
          <w:sz w:val="24"/>
          <w:szCs w:val="24"/>
        </w:rPr>
        <w:t>Operating Plan Implementation</w:t>
      </w:r>
    </w:p>
    <w:p w:rsidR="00D7580F" w:rsidRPr="00DA336F" w:rsidRDefault="00D7580F" w:rsidP="00D7580F">
      <w:pPr>
        <w:pStyle w:val="Heading"/>
        <w:spacing w:before="0" w:after="0"/>
        <w:rPr>
          <w:rFonts w:ascii="Calibri" w:hAnsi="Calibri"/>
          <w:b w:val="0"/>
          <w:sz w:val="24"/>
          <w:szCs w:val="24"/>
        </w:rPr>
      </w:pPr>
      <w:r w:rsidRPr="00DA336F">
        <w:rPr>
          <w:rFonts w:ascii="Calibri" w:hAnsi="Calibri"/>
          <w:b w:val="0"/>
          <w:sz w:val="24"/>
          <w:szCs w:val="24"/>
        </w:rPr>
        <w:t xml:space="preserve">Most stakeholders </w:t>
      </w:r>
      <w:r>
        <w:rPr>
          <w:rFonts w:ascii="Calibri" w:hAnsi="Calibri"/>
          <w:b w:val="0"/>
          <w:sz w:val="24"/>
          <w:szCs w:val="24"/>
        </w:rPr>
        <w:t>indicated</w:t>
      </w:r>
      <w:r w:rsidRPr="00DA336F">
        <w:rPr>
          <w:rFonts w:ascii="Calibri" w:hAnsi="Calibri"/>
          <w:b w:val="0"/>
          <w:sz w:val="24"/>
          <w:szCs w:val="24"/>
        </w:rPr>
        <w:t xml:space="preserve"> that Requirements R2 and R3 were redundant and having both in the standard was not necessary.  Requirement R2 called for implementation of Parts 1.1, 1.2, 1.4 and 1.5.  Requirement R3 called for reporting events in accordance with the Operating Plan.  The DSR SDT deleted Requirement </w:t>
      </w:r>
      <w:r>
        <w:rPr>
          <w:rFonts w:ascii="Calibri" w:hAnsi="Calibri"/>
          <w:b w:val="0"/>
          <w:sz w:val="24"/>
          <w:szCs w:val="24"/>
        </w:rPr>
        <w:t>R</w:t>
      </w:r>
      <w:r w:rsidRPr="00DA336F">
        <w:rPr>
          <w:rFonts w:ascii="Calibri" w:hAnsi="Calibri"/>
          <w:b w:val="0"/>
          <w:sz w:val="24"/>
          <w:szCs w:val="24"/>
        </w:rPr>
        <w:t>2 based on stakeholder comments and revised R3 (now R2) to:</w:t>
      </w:r>
    </w:p>
    <w:p w:rsidR="00D7580F" w:rsidRPr="00DA336F" w:rsidRDefault="00D7580F" w:rsidP="00D7580F">
      <w:pPr>
        <w:pStyle w:val="Heading"/>
        <w:spacing w:before="0" w:after="0"/>
        <w:rPr>
          <w:rFonts w:ascii="Calibri" w:hAnsi="Calibri"/>
          <w:b w:val="0"/>
          <w:sz w:val="24"/>
          <w:szCs w:val="24"/>
        </w:rPr>
      </w:pPr>
    </w:p>
    <w:p w:rsidR="00D7580F" w:rsidRPr="00DA336F" w:rsidRDefault="00D7580F" w:rsidP="00D7580F">
      <w:pPr>
        <w:pStyle w:val="Heading"/>
        <w:spacing w:before="0" w:after="0"/>
        <w:ind w:left="720"/>
        <w:rPr>
          <w:rFonts w:ascii="Calibri" w:hAnsi="Calibri"/>
          <w:b w:val="0"/>
          <w:sz w:val="24"/>
          <w:szCs w:val="24"/>
        </w:rPr>
      </w:pPr>
      <w:r w:rsidRPr="00DA336F">
        <w:rPr>
          <w:rFonts w:ascii="Calibri" w:hAnsi="Calibri"/>
          <w:b w:val="0"/>
          <w:sz w:val="24"/>
          <w:szCs w:val="24"/>
        </w:rPr>
        <w:t>“</w:t>
      </w:r>
      <w:r>
        <w:rPr>
          <w:rFonts w:ascii="Calibri" w:hAnsi="Calibri"/>
          <w:b w:val="0"/>
          <w:sz w:val="24"/>
          <w:szCs w:val="24"/>
        </w:rPr>
        <w:t xml:space="preserve">R2.  </w:t>
      </w:r>
      <w:r w:rsidRPr="0078404A">
        <w:rPr>
          <w:rFonts w:ascii="Calibri" w:hAnsi="Calibri"/>
          <w:b w:val="0"/>
          <w:sz w:val="24"/>
          <w:szCs w:val="24"/>
        </w:rPr>
        <w:t>Each Responsible Entity shall implement its event reporting Operating Plan for applicable events listed in EOP-004 Attachment 1, and in accordance with the timeframe specified in EOP-004 Attachment1.</w:t>
      </w:r>
      <w:r w:rsidRPr="00DA336F">
        <w:rPr>
          <w:rFonts w:ascii="Calibri" w:hAnsi="Calibri"/>
          <w:b w:val="0"/>
          <w:sz w:val="24"/>
          <w:szCs w:val="24"/>
        </w:rPr>
        <w:t xml:space="preserve">”  </w:t>
      </w:r>
    </w:p>
    <w:p w:rsidR="00D7580F" w:rsidRPr="00DA336F" w:rsidRDefault="00D7580F" w:rsidP="00D7580F">
      <w:pPr>
        <w:pStyle w:val="Heading"/>
        <w:spacing w:before="0" w:after="0"/>
        <w:rPr>
          <w:rFonts w:ascii="Calibri" w:hAnsi="Calibri"/>
          <w:b w:val="0"/>
          <w:sz w:val="24"/>
          <w:szCs w:val="24"/>
        </w:rPr>
      </w:pPr>
    </w:p>
    <w:p w:rsidR="00D7580F" w:rsidRPr="00763862" w:rsidRDefault="00D7580F" w:rsidP="00D7580F">
      <w:pPr>
        <w:pStyle w:val="Heading"/>
        <w:spacing w:before="0" w:after="0"/>
        <w:rPr>
          <w:rFonts w:ascii="Calibri" w:hAnsi="Calibri"/>
          <w:i/>
          <w:sz w:val="24"/>
          <w:szCs w:val="24"/>
        </w:rPr>
      </w:pPr>
      <w:r w:rsidRPr="00763862">
        <w:rPr>
          <w:rFonts w:ascii="Calibri" w:hAnsi="Calibri"/>
          <w:i/>
          <w:sz w:val="24"/>
          <w:szCs w:val="24"/>
        </w:rPr>
        <w:t>Reporting Timelines</w:t>
      </w:r>
    </w:p>
    <w:p w:rsidR="00D7580F" w:rsidRPr="00DA336F" w:rsidRDefault="00D7580F" w:rsidP="00D7580F">
      <w:pPr>
        <w:pStyle w:val="Heading"/>
        <w:spacing w:before="0" w:after="0"/>
        <w:rPr>
          <w:rFonts w:ascii="Calibri" w:hAnsi="Calibri"/>
          <w:b w:val="0"/>
          <w:sz w:val="24"/>
          <w:szCs w:val="24"/>
        </w:rPr>
      </w:pPr>
      <w:r w:rsidRPr="00DA336F">
        <w:rPr>
          <w:rFonts w:ascii="Calibri" w:hAnsi="Calibri"/>
          <w:b w:val="0"/>
          <w:sz w:val="24"/>
          <w:szCs w:val="24"/>
        </w:rPr>
        <w:t>The DSR SDT received many comments regarding the various entries of Attachment 1.  Many commenters questioned the reliability benefit of reporting events to the ERO within 1 hour.  Most of the events with a one hour reporting requirement were revised to 24 hours based on stakeholder comments</w:t>
      </w:r>
      <w:r>
        <w:rPr>
          <w:rFonts w:ascii="Calibri" w:hAnsi="Calibri"/>
          <w:b w:val="0"/>
          <w:sz w:val="24"/>
          <w:szCs w:val="24"/>
        </w:rPr>
        <w:t>;</w:t>
      </w:r>
      <w:r w:rsidRPr="00DA336F">
        <w:rPr>
          <w:rFonts w:ascii="Calibri" w:hAnsi="Calibri"/>
          <w:b w:val="0"/>
          <w:sz w:val="24"/>
          <w:szCs w:val="24"/>
        </w:rPr>
        <w:t xml:space="preserve"> those types of events are currently required to be reported within 24 hours in the existing mandatory and enforceable standards. The only remaining type of event that is to be reported within one hour is “A reportable Cyber Security Incident” as it </w:t>
      </w:r>
      <w:r>
        <w:rPr>
          <w:rFonts w:ascii="Calibri" w:hAnsi="Calibri"/>
          <w:b w:val="0"/>
          <w:sz w:val="24"/>
          <w:szCs w:val="24"/>
        </w:rPr>
        <w:t xml:space="preserve">is </w:t>
      </w:r>
      <w:r w:rsidRPr="00DA336F">
        <w:rPr>
          <w:rFonts w:ascii="Calibri" w:hAnsi="Calibri"/>
          <w:b w:val="0"/>
          <w:sz w:val="24"/>
          <w:szCs w:val="24"/>
        </w:rPr>
        <w:t>required by CIP-008 and FERC Order 706, Paragraph 673:</w:t>
      </w:r>
    </w:p>
    <w:p w:rsidR="00D7580F" w:rsidRPr="00DA336F" w:rsidRDefault="00D7580F" w:rsidP="00D7580F">
      <w:pPr>
        <w:pStyle w:val="Heading"/>
        <w:spacing w:before="0" w:after="0"/>
        <w:rPr>
          <w:rFonts w:ascii="Calibri" w:hAnsi="Calibri"/>
          <w:b w:val="0"/>
          <w:sz w:val="24"/>
          <w:szCs w:val="24"/>
        </w:rPr>
      </w:pPr>
    </w:p>
    <w:p w:rsidR="00D7580F" w:rsidRPr="00DA336F" w:rsidRDefault="00D7580F" w:rsidP="00D7580F">
      <w:pPr>
        <w:pStyle w:val="Heading"/>
        <w:spacing w:before="0" w:after="0"/>
        <w:ind w:left="720" w:firstLine="60"/>
        <w:rPr>
          <w:rFonts w:ascii="Calibri" w:hAnsi="Calibri"/>
          <w:b w:val="0"/>
          <w:sz w:val="24"/>
          <w:szCs w:val="24"/>
        </w:rPr>
      </w:pPr>
      <w:r w:rsidRPr="00DA336F">
        <w:rPr>
          <w:rFonts w:ascii="Calibri" w:hAnsi="Calibri"/>
          <w:b w:val="0"/>
          <w:sz w:val="24"/>
          <w:szCs w:val="24"/>
        </w:rPr>
        <w:t>“</w:t>
      </w:r>
      <w:proofErr w:type="gramStart"/>
      <w:r w:rsidRPr="00DA336F">
        <w:rPr>
          <w:rFonts w:ascii="Calibri" w:hAnsi="Calibri"/>
          <w:b w:val="0"/>
          <w:sz w:val="24"/>
          <w:szCs w:val="24"/>
        </w:rPr>
        <w:t>direct</w:t>
      </w:r>
      <w:proofErr w:type="gramEnd"/>
      <w:r w:rsidRPr="00DA336F">
        <w:rPr>
          <w:rFonts w:ascii="Calibri" w:hAnsi="Calibri"/>
          <w:b w:val="0"/>
          <w:sz w:val="24"/>
          <w:szCs w:val="24"/>
        </w:rPr>
        <w:t xml:space="preserve"> the ERO to modify CIP-008 to require each responsible entity to contact appropriate government authorities and industry participants in the event of a cyber security incident as soon as possible, but in any event, within one hour of the event…”</w:t>
      </w:r>
    </w:p>
    <w:p w:rsidR="00D7580F" w:rsidRDefault="00D7580F" w:rsidP="00D7580F">
      <w:pPr>
        <w:rPr>
          <w:rFonts w:ascii="Calibri" w:hAnsi="Calibri"/>
          <w:b/>
          <w:bCs/>
        </w:rPr>
      </w:pPr>
    </w:p>
    <w:p w:rsidR="00D7580F" w:rsidRPr="00DA336F" w:rsidRDefault="00D7580F" w:rsidP="00D7580F">
      <w:pPr>
        <w:pStyle w:val="Heading"/>
        <w:spacing w:before="0" w:after="0"/>
        <w:rPr>
          <w:rFonts w:ascii="Calibri" w:hAnsi="Calibri"/>
          <w:b w:val="0"/>
          <w:sz w:val="24"/>
          <w:szCs w:val="24"/>
        </w:rPr>
      </w:pPr>
      <w:r w:rsidRPr="00DA336F">
        <w:rPr>
          <w:rFonts w:ascii="Calibri" w:hAnsi="Calibri"/>
          <w:b w:val="0"/>
          <w:sz w:val="24"/>
          <w:szCs w:val="24"/>
        </w:rPr>
        <w:t>The table was reformatted to separate one</w:t>
      </w:r>
      <w:r w:rsidR="0018116F">
        <w:rPr>
          <w:rFonts w:ascii="Calibri" w:hAnsi="Calibri"/>
          <w:b w:val="0"/>
          <w:sz w:val="24"/>
          <w:szCs w:val="24"/>
        </w:rPr>
        <w:t>-</w:t>
      </w:r>
      <w:r w:rsidRPr="00DA336F">
        <w:rPr>
          <w:rFonts w:ascii="Calibri" w:hAnsi="Calibri"/>
          <w:b w:val="0"/>
          <w:sz w:val="24"/>
          <w:szCs w:val="24"/>
        </w:rPr>
        <w:t>hour reporting and 24</w:t>
      </w:r>
      <w:r w:rsidR="0018116F">
        <w:rPr>
          <w:rFonts w:ascii="Calibri" w:hAnsi="Calibri"/>
          <w:b w:val="0"/>
          <w:sz w:val="24"/>
          <w:szCs w:val="24"/>
        </w:rPr>
        <w:t>-</w:t>
      </w:r>
      <w:r w:rsidRPr="00DA336F">
        <w:rPr>
          <w:rFonts w:ascii="Calibri" w:hAnsi="Calibri"/>
          <w:b w:val="0"/>
          <w:sz w:val="24"/>
          <w:szCs w:val="24"/>
        </w:rPr>
        <w:t xml:space="preserve">hour reporting.  The last column of the table was also deleted and the information contained in </w:t>
      </w:r>
      <w:r>
        <w:rPr>
          <w:rFonts w:ascii="Calibri" w:hAnsi="Calibri"/>
          <w:b w:val="0"/>
          <w:sz w:val="24"/>
          <w:szCs w:val="24"/>
        </w:rPr>
        <w:t>the table</w:t>
      </w:r>
      <w:r w:rsidRPr="00DA336F">
        <w:rPr>
          <w:rFonts w:ascii="Calibri" w:hAnsi="Calibri"/>
          <w:b w:val="0"/>
          <w:sz w:val="24"/>
          <w:szCs w:val="24"/>
        </w:rPr>
        <w:t xml:space="preserve"> was transferred to the sentence above each table.  These sentences are: </w:t>
      </w:r>
    </w:p>
    <w:p w:rsidR="00D7580F" w:rsidRPr="00DA336F" w:rsidRDefault="00D7580F" w:rsidP="00D7580F">
      <w:pPr>
        <w:pStyle w:val="Heading"/>
        <w:spacing w:before="0" w:after="0"/>
        <w:rPr>
          <w:rFonts w:ascii="Calibri" w:hAnsi="Calibri"/>
          <w:b w:val="0"/>
          <w:sz w:val="24"/>
          <w:szCs w:val="24"/>
        </w:rPr>
      </w:pPr>
    </w:p>
    <w:p w:rsidR="00D7580F" w:rsidRPr="00DA336F" w:rsidRDefault="00D7580F" w:rsidP="00D7580F">
      <w:pPr>
        <w:pStyle w:val="Heading"/>
        <w:spacing w:before="0" w:after="0"/>
        <w:ind w:left="720"/>
        <w:rPr>
          <w:rFonts w:ascii="Calibri" w:hAnsi="Calibri"/>
          <w:b w:val="0"/>
          <w:sz w:val="24"/>
          <w:szCs w:val="24"/>
        </w:rPr>
      </w:pPr>
      <w:r w:rsidRPr="00DA336F">
        <w:rPr>
          <w:rFonts w:ascii="Calibri" w:hAnsi="Calibri"/>
          <w:b w:val="0"/>
          <w:sz w:val="24"/>
          <w:szCs w:val="24"/>
        </w:rPr>
        <w:t xml:space="preserve">“One Hour Reporting:  Submit </w:t>
      </w:r>
      <w:r w:rsidR="0018116F">
        <w:rPr>
          <w:rFonts w:ascii="Calibri" w:hAnsi="Calibri"/>
          <w:b w:val="0"/>
          <w:sz w:val="24"/>
          <w:szCs w:val="24"/>
        </w:rPr>
        <w:t xml:space="preserve">EOP-004 </w:t>
      </w:r>
      <w:r w:rsidRPr="00DA336F">
        <w:rPr>
          <w:rFonts w:ascii="Calibri" w:hAnsi="Calibri"/>
          <w:b w:val="0"/>
          <w:sz w:val="24"/>
          <w:szCs w:val="24"/>
        </w:rPr>
        <w:t>Attachment 2 or DOE-OE-417 report to the parties identified pursuant to Requirement R1, Part 1.2 within one hour of recognition of the event.”</w:t>
      </w:r>
    </w:p>
    <w:p w:rsidR="00D7580F" w:rsidRPr="00DA336F" w:rsidRDefault="00D7580F" w:rsidP="00D7580F">
      <w:pPr>
        <w:pStyle w:val="Heading"/>
        <w:spacing w:before="0" w:after="0"/>
        <w:rPr>
          <w:rFonts w:ascii="Calibri" w:hAnsi="Calibri"/>
          <w:b w:val="0"/>
          <w:sz w:val="24"/>
          <w:szCs w:val="24"/>
        </w:rPr>
      </w:pPr>
    </w:p>
    <w:p w:rsidR="00D7580F" w:rsidRPr="00DA336F" w:rsidRDefault="00D7580F" w:rsidP="00D7580F">
      <w:pPr>
        <w:pStyle w:val="Heading"/>
        <w:spacing w:before="0" w:after="0"/>
        <w:ind w:left="720"/>
        <w:rPr>
          <w:rFonts w:ascii="Calibri" w:hAnsi="Calibri"/>
          <w:b w:val="0"/>
          <w:sz w:val="24"/>
          <w:szCs w:val="24"/>
        </w:rPr>
      </w:pPr>
      <w:r w:rsidRPr="00DA336F">
        <w:rPr>
          <w:rFonts w:ascii="Calibri" w:hAnsi="Calibri"/>
          <w:b w:val="0"/>
          <w:sz w:val="24"/>
          <w:szCs w:val="24"/>
        </w:rPr>
        <w:t xml:space="preserve">“Twenty-four Hour Reporting:  Submit </w:t>
      </w:r>
      <w:r w:rsidR="00BE046F">
        <w:rPr>
          <w:rFonts w:ascii="Calibri" w:hAnsi="Calibri"/>
          <w:b w:val="0"/>
          <w:sz w:val="24"/>
          <w:szCs w:val="24"/>
        </w:rPr>
        <w:t xml:space="preserve">EOP-004 </w:t>
      </w:r>
      <w:r w:rsidRPr="00DA336F">
        <w:rPr>
          <w:rFonts w:ascii="Calibri" w:hAnsi="Calibri"/>
          <w:b w:val="0"/>
          <w:sz w:val="24"/>
          <w:szCs w:val="24"/>
        </w:rPr>
        <w:t>Attachment 2 or DOE-OE-417 report to the parties identified pursuant to Requirement R1, Part 1.2 within twenty-four hour of recognition of the event.”</w:t>
      </w:r>
    </w:p>
    <w:p w:rsidR="00D7580F" w:rsidRPr="00DA336F" w:rsidRDefault="00D7580F" w:rsidP="00D7580F">
      <w:pPr>
        <w:pStyle w:val="Heading"/>
        <w:spacing w:before="0" w:after="0"/>
        <w:rPr>
          <w:rFonts w:ascii="Calibri" w:hAnsi="Calibri"/>
          <w:b w:val="0"/>
          <w:sz w:val="24"/>
          <w:szCs w:val="24"/>
        </w:rPr>
      </w:pPr>
    </w:p>
    <w:p w:rsidR="00D7580F" w:rsidRPr="00DA336F" w:rsidRDefault="00D7580F" w:rsidP="00D7580F">
      <w:pPr>
        <w:pStyle w:val="Heading"/>
        <w:spacing w:before="0" w:after="0"/>
        <w:rPr>
          <w:rFonts w:ascii="Calibri" w:hAnsi="Calibri"/>
          <w:b w:val="0"/>
          <w:sz w:val="24"/>
          <w:szCs w:val="24"/>
        </w:rPr>
      </w:pPr>
      <w:r w:rsidRPr="00DA336F">
        <w:rPr>
          <w:rFonts w:ascii="Calibri" w:hAnsi="Calibri"/>
          <w:b w:val="0"/>
          <w:sz w:val="24"/>
          <w:szCs w:val="24"/>
        </w:rPr>
        <w:t>Note that the reporting timeline of 24 hours starts when the situation has been determined as a threat, not when it may have first occurred.</w:t>
      </w:r>
    </w:p>
    <w:p w:rsidR="00D7580F" w:rsidRPr="00DA336F" w:rsidRDefault="00D7580F" w:rsidP="00D7580F">
      <w:pPr>
        <w:pStyle w:val="Heading"/>
        <w:spacing w:before="0" w:after="0"/>
        <w:rPr>
          <w:rFonts w:ascii="Calibri" w:hAnsi="Calibri"/>
          <w:b w:val="0"/>
          <w:sz w:val="24"/>
          <w:szCs w:val="24"/>
        </w:rPr>
      </w:pPr>
    </w:p>
    <w:p w:rsidR="00D7580F" w:rsidRPr="00763862" w:rsidRDefault="00D7580F" w:rsidP="00D7580F">
      <w:pPr>
        <w:pStyle w:val="Heading"/>
        <w:spacing w:before="0" w:after="0"/>
        <w:rPr>
          <w:rFonts w:ascii="Calibri" w:hAnsi="Calibri"/>
          <w:i/>
          <w:sz w:val="24"/>
          <w:szCs w:val="24"/>
        </w:rPr>
      </w:pPr>
      <w:r w:rsidRPr="00763862">
        <w:rPr>
          <w:rFonts w:ascii="Calibri" w:hAnsi="Calibri"/>
          <w:i/>
          <w:sz w:val="24"/>
          <w:szCs w:val="24"/>
        </w:rPr>
        <w:t>Cyber-Related Events</w:t>
      </w:r>
    </w:p>
    <w:p w:rsidR="00BE046F" w:rsidRDefault="00D7580F" w:rsidP="00D7580F">
      <w:pPr>
        <w:pStyle w:val="Heading"/>
        <w:spacing w:before="0" w:after="0"/>
        <w:rPr>
          <w:rFonts w:ascii="Calibri" w:hAnsi="Calibri"/>
          <w:b w:val="0"/>
          <w:sz w:val="24"/>
          <w:szCs w:val="24"/>
        </w:rPr>
      </w:pPr>
      <w:r w:rsidRPr="00DA336F">
        <w:rPr>
          <w:rFonts w:ascii="Calibri" w:hAnsi="Calibri"/>
          <w:b w:val="0"/>
          <w:sz w:val="24"/>
          <w:szCs w:val="24"/>
        </w:rPr>
        <w:t>The ‘Damage or Destruction’ events specifically relating to Critical Assets and Critical Cyber Assets were removed from Attachment 1</w:t>
      </w:r>
      <w:r>
        <w:rPr>
          <w:rFonts w:ascii="Calibri" w:hAnsi="Calibri"/>
          <w:b w:val="0"/>
          <w:sz w:val="24"/>
          <w:szCs w:val="24"/>
        </w:rPr>
        <w:t>.</w:t>
      </w:r>
      <w:r w:rsidRPr="00DA336F">
        <w:rPr>
          <w:rFonts w:ascii="Calibri" w:hAnsi="Calibri"/>
          <w:b w:val="0"/>
          <w:sz w:val="24"/>
          <w:szCs w:val="24"/>
        </w:rPr>
        <w:t xml:space="preserve"> </w:t>
      </w:r>
      <w:r>
        <w:rPr>
          <w:rFonts w:ascii="Calibri" w:hAnsi="Calibri"/>
          <w:b w:val="0"/>
          <w:sz w:val="24"/>
          <w:szCs w:val="24"/>
        </w:rPr>
        <w:t>S</w:t>
      </w:r>
      <w:r w:rsidRPr="00DA336F">
        <w:rPr>
          <w:rFonts w:ascii="Calibri" w:hAnsi="Calibri"/>
          <w:b w:val="0"/>
          <w:sz w:val="24"/>
          <w:szCs w:val="24"/>
        </w:rPr>
        <w:t xml:space="preserve">takeholders </w:t>
      </w:r>
      <w:r>
        <w:rPr>
          <w:rFonts w:ascii="Calibri" w:hAnsi="Calibri"/>
          <w:b w:val="0"/>
          <w:sz w:val="24"/>
          <w:szCs w:val="24"/>
        </w:rPr>
        <w:t>pointed out these events a</w:t>
      </w:r>
      <w:r w:rsidRPr="00DA336F">
        <w:rPr>
          <w:rFonts w:ascii="Calibri" w:hAnsi="Calibri"/>
          <w:b w:val="0"/>
          <w:sz w:val="24"/>
          <w:szCs w:val="24"/>
        </w:rPr>
        <w:t xml:space="preserve">re adequately addressed through the CIP-008 and </w:t>
      </w:r>
      <w:r w:rsidR="00BB20E1">
        <w:rPr>
          <w:rFonts w:ascii="Calibri" w:hAnsi="Calibri"/>
          <w:b w:val="0"/>
          <w:sz w:val="24"/>
          <w:szCs w:val="24"/>
        </w:rPr>
        <w:t>“</w:t>
      </w:r>
      <w:r w:rsidRPr="00DA336F">
        <w:rPr>
          <w:rFonts w:ascii="Calibri" w:hAnsi="Calibri"/>
          <w:b w:val="0"/>
          <w:sz w:val="24"/>
          <w:szCs w:val="24"/>
        </w:rPr>
        <w:t xml:space="preserve">Damage or Destruction of a </w:t>
      </w:r>
      <w:proofErr w:type="spellStart"/>
      <w:r w:rsidRPr="00DA336F">
        <w:rPr>
          <w:rFonts w:ascii="Calibri" w:hAnsi="Calibri"/>
          <w:b w:val="0"/>
          <w:sz w:val="24"/>
          <w:szCs w:val="24"/>
        </w:rPr>
        <w:t>Facility</w:t>
      </w:r>
      <w:r w:rsidR="00BB20E1">
        <w:rPr>
          <w:rFonts w:ascii="Calibri" w:hAnsi="Calibri"/>
          <w:b w:val="0"/>
          <w:sz w:val="24"/>
          <w:szCs w:val="24"/>
        </w:rPr>
        <w:t>”</w:t>
      </w:r>
      <w:r w:rsidRPr="00DA336F">
        <w:rPr>
          <w:rFonts w:ascii="Calibri" w:hAnsi="Calibri"/>
          <w:b w:val="0"/>
          <w:sz w:val="24"/>
          <w:szCs w:val="24"/>
        </w:rPr>
        <w:t>reporting</w:t>
      </w:r>
      <w:proofErr w:type="spellEnd"/>
      <w:r w:rsidRPr="00DA336F">
        <w:rPr>
          <w:rFonts w:ascii="Calibri" w:hAnsi="Calibri"/>
          <w:b w:val="0"/>
          <w:sz w:val="24"/>
          <w:szCs w:val="24"/>
        </w:rPr>
        <w:t xml:space="preserve"> thresholds.  </w:t>
      </w:r>
    </w:p>
    <w:p w:rsidR="00BE046F" w:rsidRDefault="00BE046F">
      <w:pPr>
        <w:rPr>
          <w:rFonts w:ascii="Calibri" w:hAnsi="Calibri"/>
          <w:bCs/>
        </w:rPr>
      </w:pPr>
      <w:r>
        <w:rPr>
          <w:rFonts w:ascii="Calibri" w:hAnsi="Calibri"/>
          <w:b/>
        </w:rPr>
        <w:br w:type="page"/>
      </w:r>
    </w:p>
    <w:p w:rsidR="00D7580F" w:rsidRPr="00DA336F" w:rsidRDefault="00D7580F" w:rsidP="00D7580F">
      <w:pPr>
        <w:pStyle w:val="Heading"/>
        <w:spacing w:before="0" w:after="0"/>
        <w:rPr>
          <w:rFonts w:ascii="Calibri" w:hAnsi="Calibri"/>
          <w:b w:val="0"/>
          <w:sz w:val="24"/>
          <w:szCs w:val="24"/>
        </w:rPr>
      </w:pPr>
      <w:r w:rsidRPr="00DA336F">
        <w:rPr>
          <w:rFonts w:ascii="Calibri" w:hAnsi="Calibri"/>
          <w:b w:val="0"/>
          <w:sz w:val="24"/>
          <w:szCs w:val="24"/>
        </w:rPr>
        <w:lastRenderedPageBreak/>
        <w:t>CIP-008 addresses Cyber Security Incidents which are defined as:</w:t>
      </w:r>
    </w:p>
    <w:p w:rsidR="00D7580F" w:rsidRPr="00DA336F" w:rsidRDefault="00D7580F" w:rsidP="00BE046F">
      <w:pPr>
        <w:pStyle w:val="Heading"/>
        <w:spacing w:before="0" w:after="0"/>
        <w:ind w:firstLine="720"/>
        <w:rPr>
          <w:rFonts w:ascii="Calibri" w:hAnsi="Calibri"/>
          <w:b w:val="0"/>
          <w:sz w:val="24"/>
          <w:szCs w:val="24"/>
        </w:rPr>
      </w:pPr>
    </w:p>
    <w:p w:rsidR="00D7580F" w:rsidRPr="00DA336F" w:rsidRDefault="00D7580F" w:rsidP="00D7580F">
      <w:pPr>
        <w:pStyle w:val="Heading"/>
        <w:spacing w:before="120"/>
        <w:ind w:firstLine="720"/>
        <w:rPr>
          <w:rFonts w:ascii="Calibri" w:hAnsi="Calibri"/>
          <w:b w:val="0"/>
          <w:sz w:val="24"/>
          <w:szCs w:val="24"/>
        </w:rPr>
      </w:pPr>
      <w:r w:rsidRPr="00DA336F">
        <w:rPr>
          <w:rFonts w:ascii="Calibri" w:hAnsi="Calibri"/>
          <w:b w:val="0"/>
          <w:sz w:val="24"/>
          <w:szCs w:val="24"/>
        </w:rPr>
        <w:t>“Any malicious act or suspicious event that:</w:t>
      </w:r>
    </w:p>
    <w:p w:rsidR="00D7580F" w:rsidRPr="00DA336F" w:rsidRDefault="00D7580F" w:rsidP="00D7580F">
      <w:pPr>
        <w:pStyle w:val="Heading"/>
        <w:spacing w:before="120"/>
        <w:ind w:left="1440"/>
        <w:rPr>
          <w:rFonts w:ascii="Calibri" w:hAnsi="Calibri"/>
          <w:b w:val="0"/>
          <w:sz w:val="24"/>
          <w:szCs w:val="24"/>
        </w:rPr>
      </w:pPr>
      <w:r w:rsidRPr="00DA336F">
        <w:rPr>
          <w:rFonts w:ascii="Calibri" w:hAnsi="Calibri"/>
          <w:b w:val="0"/>
          <w:sz w:val="24"/>
          <w:szCs w:val="24"/>
        </w:rPr>
        <w:t>• Compromises, or was an attempt to compromise, the Electronic Security Perimeter or Physical Security Perimeter of a Critical Cyber Asset, or,</w:t>
      </w:r>
    </w:p>
    <w:p w:rsidR="00D7580F" w:rsidRPr="00DA336F" w:rsidRDefault="00D7580F" w:rsidP="00D7580F">
      <w:pPr>
        <w:pStyle w:val="Heading"/>
        <w:spacing w:before="0" w:after="0"/>
        <w:ind w:left="720" w:firstLine="720"/>
        <w:rPr>
          <w:rFonts w:ascii="Calibri" w:hAnsi="Calibri"/>
          <w:b w:val="0"/>
          <w:sz w:val="24"/>
          <w:szCs w:val="24"/>
        </w:rPr>
      </w:pPr>
      <w:r w:rsidRPr="00DA336F">
        <w:rPr>
          <w:rFonts w:ascii="Calibri" w:hAnsi="Calibri"/>
          <w:b w:val="0"/>
          <w:sz w:val="24"/>
          <w:szCs w:val="24"/>
        </w:rPr>
        <w:t>• Disrupts, or was an attempt to disrupt, the operation of a Critical Cyber Asset.”</w:t>
      </w:r>
    </w:p>
    <w:p w:rsidR="00D7580F" w:rsidRPr="00DA336F" w:rsidRDefault="00D7580F" w:rsidP="00D7580F">
      <w:pPr>
        <w:pStyle w:val="Heading"/>
        <w:spacing w:before="0" w:after="0"/>
        <w:rPr>
          <w:rFonts w:ascii="Calibri" w:hAnsi="Calibri"/>
          <w:b w:val="0"/>
          <w:sz w:val="24"/>
          <w:szCs w:val="24"/>
        </w:rPr>
      </w:pPr>
    </w:p>
    <w:p w:rsidR="00D7580F" w:rsidRPr="00DA336F" w:rsidRDefault="00D7580F" w:rsidP="00D7580F">
      <w:pPr>
        <w:pStyle w:val="Heading"/>
        <w:spacing w:before="0" w:after="0"/>
        <w:rPr>
          <w:rFonts w:ascii="Calibri" w:hAnsi="Calibri"/>
          <w:b w:val="0"/>
          <w:sz w:val="24"/>
          <w:szCs w:val="24"/>
        </w:rPr>
      </w:pPr>
      <w:r w:rsidRPr="00DA336F">
        <w:rPr>
          <w:rFonts w:ascii="Calibri" w:hAnsi="Calibri"/>
          <w:b w:val="0"/>
          <w:sz w:val="24"/>
          <w:szCs w:val="24"/>
        </w:rPr>
        <w:t>A Critical Asset is defined as:</w:t>
      </w:r>
    </w:p>
    <w:p w:rsidR="00D7580F" w:rsidRPr="00DA336F" w:rsidRDefault="00D7580F" w:rsidP="00D7580F">
      <w:pPr>
        <w:pStyle w:val="Heading"/>
        <w:spacing w:before="0" w:after="0"/>
        <w:ind w:left="-90"/>
        <w:rPr>
          <w:rFonts w:ascii="Calibri" w:hAnsi="Calibri"/>
          <w:b w:val="0"/>
          <w:sz w:val="24"/>
          <w:szCs w:val="24"/>
        </w:rPr>
      </w:pPr>
    </w:p>
    <w:p w:rsidR="00D7580F" w:rsidRPr="00DA336F" w:rsidRDefault="00D7580F" w:rsidP="00D7580F">
      <w:pPr>
        <w:pStyle w:val="Heading"/>
        <w:spacing w:before="0" w:after="0"/>
        <w:ind w:left="720"/>
        <w:rPr>
          <w:rFonts w:ascii="Calibri" w:hAnsi="Calibri"/>
          <w:b w:val="0"/>
          <w:sz w:val="24"/>
          <w:szCs w:val="24"/>
        </w:rPr>
      </w:pPr>
      <w:r w:rsidRPr="00DA336F">
        <w:rPr>
          <w:rFonts w:ascii="Calibri" w:hAnsi="Calibri"/>
          <w:b w:val="0"/>
          <w:sz w:val="24"/>
          <w:szCs w:val="24"/>
        </w:rPr>
        <w:t>“Facilities, systems, and equipment which, if destroyed, degraded, or otherwise rendered unavailable, would affect the reliability or operability of the Bulk Electric System.”</w:t>
      </w:r>
    </w:p>
    <w:p w:rsidR="00D7580F" w:rsidRPr="00DA336F" w:rsidRDefault="00D7580F" w:rsidP="00D7580F">
      <w:pPr>
        <w:pStyle w:val="Heading"/>
        <w:spacing w:before="0" w:after="0"/>
        <w:rPr>
          <w:rFonts w:ascii="Calibri" w:hAnsi="Calibri"/>
          <w:b w:val="0"/>
          <w:sz w:val="24"/>
          <w:szCs w:val="24"/>
        </w:rPr>
      </w:pPr>
    </w:p>
    <w:p w:rsidR="00D7580F" w:rsidRPr="00DA336F" w:rsidRDefault="00D7580F" w:rsidP="00D7580F">
      <w:pPr>
        <w:pStyle w:val="Heading"/>
        <w:spacing w:before="0" w:after="0"/>
        <w:rPr>
          <w:rFonts w:ascii="Calibri" w:hAnsi="Calibri"/>
          <w:b w:val="0"/>
          <w:sz w:val="24"/>
          <w:szCs w:val="24"/>
        </w:rPr>
      </w:pPr>
      <w:r w:rsidRPr="00DA336F">
        <w:rPr>
          <w:rFonts w:ascii="Calibri" w:hAnsi="Calibri"/>
          <w:b w:val="0"/>
          <w:sz w:val="24"/>
          <w:szCs w:val="24"/>
        </w:rPr>
        <w:t>Since there is an existing event category for damage or destruction of Facilities, having a separate event for “Damage or Destruction of a Critical Asset” is unnecessary.</w:t>
      </w:r>
    </w:p>
    <w:p w:rsidR="00D7580F" w:rsidRDefault="00D7580F" w:rsidP="00D7580F">
      <w:pPr>
        <w:pStyle w:val="Heading"/>
        <w:spacing w:before="0" w:after="0"/>
        <w:rPr>
          <w:rFonts w:ascii="Calibri" w:hAnsi="Calibri"/>
          <w:i/>
          <w:sz w:val="24"/>
          <w:szCs w:val="24"/>
          <w:u w:val="single"/>
        </w:rPr>
      </w:pPr>
    </w:p>
    <w:p w:rsidR="00D7580F" w:rsidRPr="00763862" w:rsidRDefault="00D7580F" w:rsidP="00763862">
      <w:pPr>
        <w:pStyle w:val="Heading"/>
        <w:spacing w:before="0" w:after="0"/>
        <w:rPr>
          <w:rFonts w:ascii="Calibri" w:hAnsi="Calibri"/>
          <w:i/>
          <w:sz w:val="24"/>
          <w:szCs w:val="24"/>
        </w:rPr>
      </w:pPr>
      <w:r w:rsidRPr="00763862">
        <w:rPr>
          <w:rFonts w:ascii="Calibri" w:hAnsi="Calibri"/>
          <w:i/>
          <w:sz w:val="24"/>
          <w:szCs w:val="24"/>
        </w:rPr>
        <w:t>Damage or Destruction</w:t>
      </w:r>
    </w:p>
    <w:p w:rsidR="00D7580F" w:rsidRPr="00DA336F" w:rsidRDefault="00D7580F" w:rsidP="00D7580F">
      <w:pPr>
        <w:pStyle w:val="Heading"/>
        <w:spacing w:before="0" w:after="0"/>
        <w:rPr>
          <w:rFonts w:ascii="Calibri" w:hAnsi="Calibri"/>
          <w:b w:val="0"/>
          <w:sz w:val="24"/>
          <w:szCs w:val="24"/>
        </w:rPr>
      </w:pPr>
      <w:r w:rsidRPr="00DA336F">
        <w:rPr>
          <w:rFonts w:ascii="Calibri" w:hAnsi="Calibri"/>
          <w:b w:val="0"/>
          <w:sz w:val="24"/>
          <w:szCs w:val="24"/>
        </w:rPr>
        <w:t>The event for “Destruction of BES equipment” has been revised to “Damage or destruction of a Facility”.  The threshold for reporting information was expanded for clarity:</w:t>
      </w:r>
    </w:p>
    <w:p w:rsidR="00D7580F" w:rsidRPr="00DA336F" w:rsidRDefault="00D7580F" w:rsidP="00D7580F">
      <w:pPr>
        <w:pStyle w:val="Heading"/>
        <w:spacing w:before="0" w:after="0"/>
        <w:rPr>
          <w:rFonts w:ascii="Calibri" w:hAnsi="Calibri"/>
          <w:b w:val="0"/>
          <w:sz w:val="24"/>
          <w:szCs w:val="24"/>
        </w:rPr>
      </w:pPr>
    </w:p>
    <w:p w:rsidR="00BE046F" w:rsidRDefault="00D7580F" w:rsidP="00D7580F">
      <w:pPr>
        <w:pStyle w:val="ListParagraph"/>
        <w:spacing w:before="40" w:after="40"/>
        <w:ind w:left="0" w:firstLine="720"/>
        <w:rPr>
          <w:rFonts w:ascii="Calibri" w:hAnsi="Calibri"/>
          <w:bCs/>
        </w:rPr>
      </w:pPr>
      <w:r w:rsidRPr="00DA336F">
        <w:rPr>
          <w:rFonts w:ascii="Calibri" w:hAnsi="Calibri"/>
          <w:bCs/>
        </w:rPr>
        <w:t xml:space="preserve">“Damage or destruction of a Facility that: </w:t>
      </w:r>
    </w:p>
    <w:p w:rsidR="00BE046F" w:rsidRDefault="00BE046F" w:rsidP="00D7580F">
      <w:pPr>
        <w:pStyle w:val="ListParagraph"/>
        <w:spacing w:before="40" w:after="40"/>
        <w:ind w:left="0" w:firstLine="720"/>
        <w:rPr>
          <w:rFonts w:ascii="Calibri" w:hAnsi="Calibri"/>
          <w:bCs/>
        </w:rPr>
      </w:pPr>
    </w:p>
    <w:p w:rsidR="00D7580F" w:rsidRPr="00DA336F" w:rsidRDefault="00BE046F" w:rsidP="00D7580F">
      <w:pPr>
        <w:pStyle w:val="ListParagraph"/>
        <w:spacing w:before="40" w:after="40"/>
        <w:ind w:left="0" w:firstLine="720"/>
        <w:rPr>
          <w:rFonts w:ascii="Calibri" w:hAnsi="Calibri"/>
          <w:bCs/>
        </w:rPr>
      </w:pPr>
      <w:r>
        <w:rPr>
          <w:rFonts w:ascii="Calibri" w:hAnsi="Calibri"/>
          <w:bCs/>
        </w:rPr>
        <w:t>A</w:t>
      </w:r>
      <w:r w:rsidR="00D7580F" w:rsidRPr="00DA336F">
        <w:rPr>
          <w:rFonts w:ascii="Calibri" w:hAnsi="Calibri"/>
          <w:bCs/>
        </w:rPr>
        <w:t xml:space="preserve">ffects an IROL </w:t>
      </w:r>
      <w:r>
        <w:rPr>
          <w:rFonts w:ascii="Calibri" w:hAnsi="Calibri"/>
          <w:bCs/>
        </w:rPr>
        <w:t>(per FAC-014)</w:t>
      </w:r>
    </w:p>
    <w:p w:rsidR="00D7580F" w:rsidRPr="00DA336F" w:rsidRDefault="00D7580F" w:rsidP="00D7580F">
      <w:pPr>
        <w:pStyle w:val="ListParagraph"/>
        <w:spacing w:before="40" w:after="40"/>
        <w:ind w:firstLine="720"/>
        <w:rPr>
          <w:rFonts w:ascii="Calibri" w:hAnsi="Calibri"/>
          <w:bCs/>
        </w:rPr>
      </w:pPr>
      <w:r w:rsidRPr="00DA336F">
        <w:rPr>
          <w:rFonts w:ascii="Calibri" w:hAnsi="Calibri"/>
          <w:bCs/>
        </w:rPr>
        <w:t>OR</w:t>
      </w:r>
    </w:p>
    <w:p w:rsidR="00D7580F" w:rsidRPr="00DA336F" w:rsidRDefault="00D7580F" w:rsidP="00D7580F">
      <w:pPr>
        <w:pStyle w:val="ListParagraph"/>
        <w:spacing w:before="40" w:after="40"/>
        <w:ind w:left="0" w:firstLine="720"/>
        <w:rPr>
          <w:rFonts w:ascii="Calibri" w:hAnsi="Calibri"/>
          <w:bCs/>
        </w:rPr>
      </w:pPr>
      <w:r w:rsidRPr="00DA336F">
        <w:rPr>
          <w:rFonts w:ascii="Calibri" w:hAnsi="Calibri"/>
          <w:bCs/>
        </w:rPr>
        <w:t>Results in the need for actions to avoid an Adverse Reliability Impact</w:t>
      </w:r>
    </w:p>
    <w:p w:rsidR="00D7580F" w:rsidRPr="00DA336F" w:rsidRDefault="00D7580F" w:rsidP="00D7580F">
      <w:pPr>
        <w:pStyle w:val="ListParagraph"/>
        <w:spacing w:before="40" w:after="40"/>
        <w:ind w:firstLine="720"/>
        <w:rPr>
          <w:rFonts w:ascii="Calibri" w:hAnsi="Calibri"/>
          <w:bCs/>
        </w:rPr>
      </w:pPr>
      <w:r w:rsidRPr="00DA336F">
        <w:rPr>
          <w:rFonts w:ascii="Calibri" w:hAnsi="Calibri"/>
          <w:bCs/>
        </w:rPr>
        <w:t>OR</w:t>
      </w:r>
    </w:p>
    <w:p w:rsidR="00D7580F" w:rsidRPr="00DA336F" w:rsidRDefault="00D7580F" w:rsidP="00D7580F">
      <w:pPr>
        <w:pStyle w:val="Heading"/>
        <w:spacing w:before="0" w:after="0"/>
        <w:ind w:firstLine="720"/>
        <w:rPr>
          <w:rFonts w:ascii="Calibri" w:hAnsi="Calibri"/>
          <w:b w:val="0"/>
          <w:sz w:val="24"/>
          <w:szCs w:val="24"/>
        </w:rPr>
      </w:pPr>
      <w:proofErr w:type="gramStart"/>
      <w:r w:rsidRPr="00DA336F">
        <w:rPr>
          <w:rFonts w:ascii="Calibri" w:hAnsi="Calibri"/>
          <w:b w:val="0"/>
          <w:sz w:val="24"/>
          <w:szCs w:val="24"/>
        </w:rPr>
        <w:t xml:space="preserve">Results from </w:t>
      </w:r>
      <w:r w:rsidR="00BE046F">
        <w:rPr>
          <w:rFonts w:ascii="Calibri" w:hAnsi="Calibri"/>
          <w:b w:val="0"/>
          <w:sz w:val="24"/>
          <w:szCs w:val="24"/>
        </w:rPr>
        <w:t xml:space="preserve">actual or suspected </w:t>
      </w:r>
      <w:r w:rsidRPr="00DA336F">
        <w:rPr>
          <w:rFonts w:ascii="Calibri" w:hAnsi="Calibri"/>
          <w:b w:val="0"/>
          <w:sz w:val="24"/>
          <w:szCs w:val="24"/>
        </w:rPr>
        <w:t>intentional human action.”</w:t>
      </w:r>
      <w:proofErr w:type="gramEnd"/>
    </w:p>
    <w:p w:rsidR="00D7580F" w:rsidRPr="00DA336F" w:rsidRDefault="00D7580F" w:rsidP="00D7580F">
      <w:pPr>
        <w:pStyle w:val="Heading"/>
        <w:spacing w:before="0" w:after="0"/>
        <w:ind w:left="-90"/>
        <w:rPr>
          <w:rFonts w:ascii="Calibri" w:hAnsi="Calibri"/>
          <w:b w:val="0"/>
          <w:sz w:val="24"/>
          <w:szCs w:val="24"/>
        </w:rPr>
      </w:pPr>
    </w:p>
    <w:p w:rsidR="00D7580F" w:rsidRPr="00763862" w:rsidRDefault="00D7580F" w:rsidP="00D7580F">
      <w:pPr>
        <w:pStyle w:val="Heading"/>
        <w:spacing w:before="0" w:after="0"/>
        <w:rPr>
          <w:rFonts w:ascii="Calibri" w:hAnsi="Calibri"/>
          <w:i/>
          <w:sz w:val="24"/>
          <w:szCs w:val="24"/>
        </w:rPr>
      </w:pPr>
      <w:r w:rsidRPr="00763862">
        <w:rPr>
          <w:rFonts w:ascii="Calibri" w:hAnsi="Calibri"/>
          <w:i/>
          <w:sz w:val="24"/>
          <w:szCs w:val="24"/>
        </w:rPr>
        <w:t>Facility Definition</w:t>
      </w:r>
    </w:p>
    <w:p w:rsidR="00D7580F" w:rsidRPr="00DA336F" w:rsidRDefault="00D7580F" w:rsidP="00D7580F">
      <w:pPr>
        <w:pStyle w:val="Heading"/>
        <w:spacing w:before="0" w:after="0"/>
        <w:rPr>
          <w:rFonts w:ascii="Calibri" w:hAnsi="Calibri"/>
          <w:b w:val="0"/>
          <w:sz w:val="24"/>
          <w:szCs w:val="24"/>
        </w:rPr>
      </w:pPr>
      <w:r w:rsidRPr="00DA336F">
        <w:rPr>
          <w:rFonts w:ascii="Calibri" w:hAnsi="Calibri"/>
          <w:b w:val="0"/>
          <w:sz w:val="24"/>
          <w:szCs w:val="24"/>
        </w:rPr>
        <w:t>The DSR SDT used the defined term “Facility” to add clarity for this event as well as other events in Attachment 1.  A Facility is defined as:</w:t>
      </w:r>
    </w:p>
    <w:p w:rsidR="00D7580F" w:rsidRPr="00DA336F" w:rsidRDefault="00D7580F" w:rsidP="00D7580F">
      <w:pPr>
        <w:pStyle w:val="Heading"/>
        <w:spacing w:before="0" w:after="0"/>
        <w:rPr>
          <w:rFonts w:ascii="Calibri" w:hAnsi="Calibri"/>
          <w:b w:val="0"/>
          <w:sz w:val="24"/>
          <w:szCs w:val="24"/>
        </w:rPr>
      </w:pPr>
    </w:p>
    <w:p w:rsidR="00D7580F" w:rsidRPr="00DA336F" w:rsidRDefault="00D7580F" w:rsidP="00D7580F">
      <w:pPr>
        <w:pStyle w:val="Heading"/>
        <w:spacing w:before="0" w:after="0"/>
        <w:ind w:left="720"/>
        <w:rPr>
          <w:rFonts w:ascii="Calibri" w:hAnsi="Calibri"/>
          <w:b w:val="0"/>
          <w:sz w:val="24"/>
          <w:szCs w:val="24"/>
        </w:rPr>
      </w:pPr>
      <w:proofErr w:type="gramStart"/>
      <w:r w:rsidRPr="00DA336F">
        <w:rPr>
          <w:rFonts w:ascii="Calibri" w:hAnsi="Calibri"/>
          <w:b w:val="0"/>
          <w:sz w:val="24"/>
          <w:szCs w:val="24"/>
        </w:rPr>
        <w:t>“A set of electrical equipment that operates as a single Bulk Electric System Element (e.g., a line, a generator, a shunt compensator, transformer, etc.)”</w:t>
      </w:r>
      <w:proofErr w:type="gramEnd"/>
    </w:p>
    <w:p w:rsidR="00D7580F" w:rsidRPr="00DA336F" w:rsidRDefault="00D7580F" w:rsidP="00D7580F">
      <w:pPr>
        <w:pStyle w:val="Heading"/>
        <w:spacing w:before="0" w:after="0"/>
        <w:ind w:left="720"/>
        <w:rPr>
          <w:rFonts w:ascii="Calibri" w:hAnsi="Calibri"/>
          <w:b w:val="0"/>
          <w:sz w:val="24"/>
          <w:szCs w:val="24"/>
        </w:rPr>
      </w:pPr>
    </w:p>
    <w:p w:rsidR="00D7580F" w:rsidRPr="00DA336F" w:rsidRDefault="00D7580F" w:rsidP="00D7580F">
      <w:pPr>
        <w:pStyle w:val="Heading"/>
        <w:spacing w:before="0" w:after="0"/>
        <w:rPr>
          <w:rFonts w:ascii="Calibri" w:hAnsi="Calibri"/>
          <w:b w:val="0"/>
          <w:sz w:val="24"/>
          <w:szCs w:val="24"/>
        </w:rPr>
      </w:pPr>
      <w:r w:rsidRPr="00DA336F">
        <w:rPr>
          <w:rFonts w:ascii="Calibri" w:hAnsi="Calibri"/>
          <w:b w:val="0"/>
          <w:sz w:val="24"/>
          <w:szCs w:val="24"/>
        </w:rPr>
        <w:t xml:space="preserve">The DSR SDT </w:t>
      </w:r>
      <w:r>
        <w:rPr>
          <w:rFonts w:ascii="Calibri" w:hAnsi="Calibri"/>
          <w:b w:val="0"/>
          <w:sz w:val="24"/>
          <w:szCs w:val="24"/>
        </w:rPr>
        <w:t>did</w:t>
      </w:r>
      <w:r w:rsidRPr="00DA336F">
        <w:rPr>
          <w:rFonts w:ascii="Calibri" w:hAnsi="Calibri"/>
          <w:b w:val="0"/>
          <w:sz w:val="24"/>
          <w:szCs w:val="24"/>
        </w:rPr>
        <w:t xml:space="preserve"> not intend the use of the term Facility to mean a substation or any other facility (not a defined term) that one might consider in everyday discussions regarding the grid.  This is intended to mean ONLY a Facility as defined above.</w:t>
      </w:r>
    </w:p>
    <w:p w:rsidR="00D7580F" w:rsidRDefault="00D7580F" w:rsidP="00D7580F">
      <w:pPr>
        <w:pStyle w:val="Heading"/>
        <w:spacing w:before="0" w:after="0"/>
        <w:rPr>
          <w:rFonts w:ascii="Calibri" w:hAnsi="Calibri"/>
          <w:b w:val="0"/>
          <w:sz w:val="24"/>
          <w:szCs w:val="24"/>
        </w:rPr>
      </w:pPr>
    </w:p>
    <w:p w:rsidR="00BE046F" w:rsidRDefault="00BE046F">
      <w:pPr>
        <w:rPr>
          <w:rFonts w:ascii="Calibri" w:hAnsi="Calibri"/>
          <w:b/>
          <w:bCs/>
          <w:i/>
        </w:rPr>
      </w:pPr>
      <w:r>
        <w:rPr>
          <w:rFonts w:ascii="Calibri" w:hAnsi="Calibri"/>
          <w:i/>
        </w:rPr>
        <w:br w:type="page"/>
      </w:r>
    </w:p>
    <w:p w:rsidR="00D7580F" w:rsidRPr="00763862" w:rsidRDefault="00D7580F" w:rsidP="00D7580F">
      <w:pPr>
        <w:pStyle w:val="Heading"/>
        <w:spacing w:before="0" w:after="0"/>
        <w:rPr>
          <w:rFonts w:ascii="Calibri" w:hAnsi="Calibri"/>
          <w:i/>
          <w:sz w:val="24"/>
          <w:szCs w:val="24"/>
        </w:rPr>
      </w:pPr>
      <w:r w:rsidRPr="00763862">
        <w:rPr>
          <w:rFonts w:ascii="Calibri" w:hAnsi="Calibri"/>
          <w:i/>
          <w:sz w:val="24"/>
          <w:szCs w:val="24"/>
        </w:rPr>
        <w:lastRenderedPageBreak/>
        <w:t>Physical Threats</w:t>
      </w:r>
    </w:p>
    <w:p w:rsidR="00D7580F" w:rsidRPr="00DA336F" w:rsidRDefault="00D7580F" w:rsidP="00D7580F">
      <w:pPr>
        <w:pStyle w:val="Heading"/>
        <w:spacing w:before="0" w:after="0"/>
        <w:rPr>
          <w:rFonts w:ascii="Calibri" w:hAnsi="Calibri"/>
          <w:b w:val="0"/>
          <w:sz w:val="24"/>
          <w:szCs w:val="24"/>
        </w:rPr>
      </w:pPr>
      <w:r w:rsidRPr="00DA336F">
        <w:rPr>
          <w:rFonts w:ascii="Calibri" w:hAnsi="Calibri"/>
          <w:b w:val="0"/>
          <w:sz w:val="24"/>
          <w:szCs w:val="24"/>
        </w:rPr>
        <w:t xml:space="preserve">Several stakeholders expressed concerns relating to the “Forced Intrusion” event.  Their concerns related to ambiguous language in the footnote.  The SDR SDT discussed this event as well as the event “Risk to BES equipment”.  These two event types had </w:t>
      </w:r>
      <w:r w:rsidR="00BE046F" w:rsidRPr="00DA336F">
        <w:rPr>
          <w:rFonts w:ascii="Calibri" w:hAnsi="Calibri"/>
          <w:b w:val="0"/>
          <w:sz w:val="24"/>
          <w:szCs w:val="24"/>
        </w:rPr>
        <w:t xml:space="preserve">perceived </w:t>
      </w:r>
      <w:r w:rsidRPr="00DA336F">
        <w:rPr>
          <w:rFonts w:ascii="Calibri" w:hAnsi="Calibri"/>
          <w:b w:val="0"/>
          <w:sz w:val="24"/>
          <w:szCs w:val="24"/>
        </w:rPr>
        <w:t xml:space="preserve">overlap in the reporting requirements.  The DSR SDT removed “Forced Intrusion” as a category and the “Risk to BES equipment” event was revised to “Any physical threat that could impact the operability of a Facility”.  </w:t>
      </w:r>
    </w:p>
    <w:p w:rsidR="00D7580F" w:rsidRPr="00DA336F" w:rsidRDefault="00D7580F" w:rsidP="00D7580F">
      <w:pPr>
        <w:pStyle w:val="Heading"/>
        <w:spacing w:before="0" w:after="0"/>
        <w:rPr>
          <w:rFonts w:ascii="Calibri" w:hAnsi="Calibri"/>
          <w:b w:val="0"/>
          <w:sz w:val="24"/>
          <w:szCs w:val="24"/>
        </w:rPr>
      </w:pPr>
    </w:p>
    <w:p w:rsidR="00D7580F" w:rsidRPr="00DA336F" w:rsidRDefault="00D7580F" w:rsidP="00D7580F">
      <w:pPr>
        <w:pStyle w:val="Heading"/>
        <w:spacing w:before="0" w:after="0"/>
        <w:rPr>
          <w:rFonts w:ascii="Calibri" w:hAnsi="Calibri"/>
          <w:b w:val="0"/>
          <w:sz w:val="24"/>
          <w:szCs w:val="24"/>
        </w:rPr>
      </w:pPr>
      <w:r w:rsidRPr="00DA336F">
        <w:rPr>
          <w:rFonts w:ascii="Calibri" w:hAnsi="Calibri"/>
          <w:b w:val="0"/>
          <w:sz w:val="24"/>
          <w:szCs w:val="24"/>
        </w:rPr>
        <w:t>Using judgment is unavoidable for this type of event. This language was chosen because the Responsible Entity is the best position to exercise this judgment and determine whether or not an event poses a threat to its Facilities. The DSR SDT believes this revised event type will minimize administrative burden and ensure that events meaningful to industry awareness are reported.</w:t>
      </w:r>
    </w:p>
    <w:p w:rsidR="00D7580F" w:rsidRPr="00DA336F" w:rsidRDefault="00D7580F" w:rsidP="00D7580F">
      <w:pPr>
        <w:rPr>
          <w:rFonts w:ascii="Calibri" w:hAnsi="Calibri"/>
          <w:bCs/>
        </w:rPr>
      </w:pPr>
    </w:p>
    <w:p w:rsidR="00D7580F" w:rsidRPr="00DA336F" w:rsidRDefault="00D7580F" w:rsidP="00D7580F">
      <w:pPr>
        <w:pStyle w:val="Heading"/>
        <w:spacing w:before="0" w:after="0"/>
        <w:rPr>
          <w:rFonts w:ascii="Calibri" w:hAnsi="Calibri"/>
          <w:b w:val="0"/>
          <w:sz w:val="24"/>
          <w:szCs w:val="24"/>
        </w:rPr>
      </w:pPr>
      <w:r w:rsidRPr="00DA336F">
        <w:rPr>
          <w:rFonts w:ascii="Calibri" w:hAnsi="Calibri"/>
          <w:b w:val="0"/>
          <w:sz w:val="24"/>
          <w:szCs w:val="24"/>
        </w:rPr>
        <w:t>The footnote regarding this event type was expanded to provide additional guidance in:</w:t>
      </w:r>
    </w:p>
    <w:p w:rsidR="00D7580F" w:rsidRPr="00DA336F" w:rsidRDefault="00D7580F" w:rsidP="00D7580F">
      <w:pPr>
        <w:pStyle w:val="Heading"/>
        <w:spacing w:before="0" w:after="0"/>
        <w:ind w:left="-90"/>
        <w:rPr>
          <w:rFonts w:ascii="Calibri" w:hAnsi="Calibri"/>
          <w:b w:val="0"/>
          <w:sz w:val="24"/>
          <w:szCs w:val="24"/>
        </w:rPr>
      </w:pPr>
    </w:p>
    <w:p w:rsidR="00D7580F" w:rsidRPr="00DA336F" w:rsidRDefault="00D7580F" w:rsidP="00D7580F">
      <w:pPr>
        <w:pStyle w:val="Heading"/>
        <w:spacing w:before="0" w:after="0"/>
        <w:ind w:left="720"/>
        <w:rPr>
          <w:rFonts w:ascii="Calibri" w:hAnsi="Calibri"/>
          <w:b w:val="0"/>
          <w:sz w:val="24"/>
          <w:szCs w:val="24"/>
        </w:rPr>
      </w:pPr>
      <w:r w:rsidRPr="00DA336F">
        <w:rPr>
          <w:rFonts w:ascii="Calibri" w:hAnsi="Calibri"/>
          <w:b w:val="0"/>
          <w:sz w:val="24"/>
          <w:szCs w:val="24"/>
        </w:rPr>
        <w:t xml:space="preserve">“Examples include a train derailment adjacent to a Facility that either could have damaged a Facility directly or could indirectly damage a Facility (e.g. flammable or toxic cargo that could pose fire hazard or could cause evacuation of a control center).  </w:t>
      </w:r>
      <w:proofErr w:type="gramStart"/>
      <w:r w:rsidRPr="00DA336F">
        <w:rPr>
          <w:rFonts w:ascii="Calibri" w:hAnsi="Calibri"/>
          <w:b w:val="0"/>
          <w:sz w:val="24"/>
          <w:szCs w:val="24"/>
        </w:rPr>
        <w:t>Also</w:t>
      </w:r>
      <w:r>
        <w:rPr>
          <w:rFonts w:ascii="Calibri" w:hAnsi="Calibri"/>
          <w:b w:val="0"/>
          <w:sz w:val="24"/>
          <w:szCs w:val="24"/>
        </w:rPr>
        <w:t>,</w:t>
      </w:r>
      <w:r w:rsidRPr="00DA336F">
        <w:rPr>
          <w:rFonts w:ascii="Calibri" w:hAnsi="Calibri"/>
          <w:b w:val="0"/>
          <w:sz w:val="24"/>
          <w:szCs w:val="24"/>
        </w:rPr>
        <w:t xml:space="preserve"> report any suspicious device or activity at a Facility.</w:t>
      </w:r>
      <w:proofErr w:type="gramEnd"/>
      <w:r w:rsidRPr="00DA336F">
        <w:rPr>
          <w:rFonts w:ascii="Calibri" w:hAnsi="Calibri"/>
          <w:b w:val="0"/>
          <w:sz w:val="24"/>
          <w:szCs w:val="24"/>
        </w:rPr>
        <w:t xml:space="preserve">  </w:t>
      </w:r>
      <w:proofErr w:type="gramStart"/>
      <w:r w:rsidRPr="00DA336F">
        <w:rPr>
          <w:rFonts w:ascii="Calibri" w:hAnsi="Calibri"/>
          <w:b w:val="0"/>
          <w:sz w:val="24"/>
          <w:szCs w:val="24"/>
        </w:rPr>
        <w:t>Do not report</w:t>
      </w:r>
      <w:proofErr w:type="gramEnd"/>
      <w:r w:rsidRPr="00DA336F">
        <w:rPr>
          <w:rFonts w:ascii="Calibri" w:hAnsi="Calibri"/>
          <w:b w:val="0"/>
          <w:sz w:val="24"/>
          <w:szCs w:val="24"/>
        </w:rPr>
        <w:t xml:space="preserve"> copper theft unless it impacts the operability of a Facility.”</w:t>
      </w:r>
    </w:p>
    <w:p w:rsidR="00D7580F" w:rsidRPr="00DA336F" w:rsidRDefault="00D7580F" w:rsidP="00D7580F">
      <w:pPr>
        <w:pStyle w:val="Heading"/>
        <w:spacing w:before="0" w:after="0"/>
        <w:ind w:left="-90"/>
        <w:rPr>
          <w:rFonts w:ascii="Calibri" w:hAnsi="Calibri"/>
          <w:b w:val="0"/>
          <w:sz w:val="24"/>
          <w:szCs w:val="24"/>
        </w:rPr>
      </w:pPr>
    </w:p>
    <w:p w:rsidR="00D7580F" w:rsidRPr="00763862" w:rsidRDefault="00D7580F" w:rsidP="00D7580F">
      <w:pPr>
        <w:pStyle w:val="Heading"/>
        <w:spacing w:before="0" w:after="0"/>
        <w:rPr>
          <w:rFonts w:ascii="Calibri" w:hAnsi="Calibri"/>
          <w:i/>
          <w:sz w:val="24"/>
          <w:szCs w:val="24"/>
        </w:rPr>
      </w:pPr>
      <w:r w:rsidRPr="00763862">
        <w:rPr>
          <w:rFonts w:ascii="Calibri" w:hAnsi="Calibri"/>
          <w:i/>
          <w:sz w:val="24"/>
          <w:szCs w:val="24"/>
        </w:rPr>
        <w:t xml:space="preserve">Use of DOE </w:t>
      </w:r>
      <w:r w:rsidR="00763862">
        <w:rPr>
          <w:rFonts w:ascii="Calibri" w:hAnsi="Calibri"/>
          <w:i/>
          <w:sz w:val="24"/>
          <w:szCs w:val="24"/>
        </w:rPr>
        <w:t xml:space="preserve">Form </w:t>
      </w:r>
      <w:r w:rsidRPr="00763862">
        <w:rPr>
          <w:rFonts w:ascii="Calibri" w:hAnsi="Calibri"/>
          <w:i/>
          <w:sz w:val="24"/>
          <w:szCs w:val="24"/>
        </w:rPr>
        <w:t>OE-417</w:t>
      </w:r>
    </w:p>
    <w:p w:rsidR="00D7580F" w:rsidRPr="00DA336F" w:rsidRDefault="00D7580F" w:rsidP="00D7580F">
      <w:pPr>
        <w:pStyle w:val="Heading"/>
        <w:spacing w:before="0" w:after="0"/>
        <w:rPr>
          <w:rFonts w:ascii="Calibri" w:hAnsi="Calibri"/>
          <w:b w:val="0"/>
          <w:sz w:val="24"/>
          <w:szCs w:val="24"/>
        </w:rPr>
      </w:pPr>
      <w:r w:rsidRPr="00DA336F">
        <w:rPr>
          <w:rFonts w:ascii="Calibri" w:hAnsi="Calibri"/>
          <w:b w:val="0"/>
          <w:sz w:val="24"/>
          <w:szCs w:val="24"/>
        </w:rPr>
        <w:t>The DSR SDT received many comments requesting consistency with DOE OE-417 thresholds and timelines. These items</w:t>
      </w:r>
      <w:r>
        <w:rPr>
          <w:rFonts w:ascii="Calibri" w:hAnsi="Calibri"/>
          <w:b w:val="0"/>
          <w:sz w:val="24"/>
          <w:szCs w:val="24"/>
        </w:rPr>
        <w:t>,</w:t>
      </w:r>
      <w:r w:rsidRPr="00DA336F">
        <w:rPr>
          <w:rFonts w:ascii="Calibri" w:hAnsi="Calibri"/>
          <w:b w:val="0"/>
          <w:sz w:val="24"/>
          <w:szCs w:val="24"/>
        </w:rPr>
        <w:t xml:space="preserve"> as well as</w:t>
      </w:r>
      <w:r>
        <w:rPr>
          <w:rFonts w:ascii="Calibri" w:hAnsi="Calibri"/>
          <w:b w:val="0"/>
          <w:sz w:val="24"/>
          <w:szCs w:val="24"/>
        </w:rPr>
        <w:t>,</w:t>
      </w:r>
      <w:r w:rsidRPr="00DA336F">
        <w:rPr>
          <w:rFonts w:ascii="Calibri" w:hAnsi="Calibri"/>
          <w:b w:val="0"/>
          <w:sz w:val="24"/>
          <w:szCs w:val="24"/>
        </w:rPr>
        <w:t xml:space="preserve"> the Events Analysis Working Group’s (EAWG) requirements were considered in creating Attachment 1, but differences remain for the following reasons:</w:t>
      </w:r>
    </w:p>
    <w:p w:rsidR="00D7580F" w:rsidRPr="00DA336F" w:rsidRDefault="00D7580F" w:rsidP="00D7580F">
      <w:pPr>
        <w:pStyle w:val="Heading"/>
        <w:numPr>
          <w:ilvl w:val="0"/>
          <w:numId w:val="23"/>
        </w:numPr>
        <w:spacing w:before="0" w:after="0"/>
        <w:rPr>
          <w:rFonts w:ascii="Calibri" w:hAnsi="Calibri"/>
          <w:b w:val="0"/>
          <w:sz w:val="24"/>
          <w:szCs w:val="24"/>
        </w:rPr>
      </w:pPr>
      <w:r w:rsidRPr="00DA336F">
        <w:rPr>
          <w:rFonts w:ascii="Calibri" w:hAnsi="Calibri"/>
          <w:b w:val="0"/>
          <w:sz w:val="24"/>
          <w:szCs w:val="24"/>
        </w:rPr>
        <w:t>EOP-004 requirements were designed to meet NERC and the industry’s needs; accommodation of other reporting obligations was considered as an opportunity not a ‘must-have’</w:t>
      </w:r>
    </w:p>
    <w:p w:rsidR="00D7580F" w:rsidRPr="00DA336F" w:rsidRDefault="00D7580F" w:rsidP="00D7580F">
      <w:pPr>
        <w:pStyle w:val="Heading"/>
        <w:numPr>
          <w:ilvl w:val="0"/>
          <w:numId w:val="23"/>
        </w:numPr>
        <w:spacing w:before="0" w:after="0"/>
        <w:rPr>
          <w:rFonts w:ascii="Calibri" w:hAnsi="Calibri"/>
          <w:b w:val="0"/>
          <w:sz w:val="24"/>
          <w:szCs w:val="24"/>
        </w:rPr>
      </w:pPr>
      <w:r w:rsidRPr="00DA336F">
        <w:rPr>
          <w:rFonts w:ascii="Calibri" w:hAnsi="Calibri"/>
          <w:b w:val="0"/>
          <w:sz w:val="24"/>
          <w:szCs w:val="24"/>
        </w:rPr>
        <w:t>OE-417 only applies to US entities, whereas EOP-004 requirements apply across North America</w:t>
      </w:r>
    </w:p>
    <w:p w:rsidR="00D7580F" w:rsidRPr="00DA336F" w:rsidRDefault="00D7580F" w:rsidP="00D7580F">
      <w:pPr>
        <w:pStyle w:val="Heading"/>
        <w:numPr>
          <w:ilvl w:val="0"/>
          <w:numId w:val="23"/>
        </w:numPr>
        <w:spacing w:before="0" w:after="0"/>
        <w:rPr>
          <w:rFonts w:ascii="Calibri" w:hAnsi="Calibri"/>
          <w:b w:val="0"/>
          <w:sz w:val="24"/>
          <w:szCs w:val="24"/>
        </w:rPr>
      </w:pPr>
      <w:r w:rsidRPr="00DA336F">
        <w:rPr>
          <w:rFonts w:ascii="Calibri" w:hAnsi="Calibri"/>
          <w:b w:val="0"/>
          <w:sz w:val="24"/>
          <w:szCs w:val="24"/>
        </w:rPr>
        <w:t>NERC has no control over the criteria in OE-417, which can change at any time</w:t>
      </w:r>
    </w:p>
    <w:p w:rsidR="00D7580F" w:rsidRPr="00DA336F" w:rsidRDefault="00D7580F" w:rsidP="00D7580F">
      <w:pPr>
        <w:pStyle w:val="Heading"/>
        <w:numPr>
          <w:ilvl w:val="0"/>
          <w:numId w:val="23"/>
        </w:numPr>
        <w:spacing w:before="0" w:after="0"/>
        <w:rPr>
          <w:rFonts w:ascii="Calibri" w:hAnsi="Calibri"/>
          <w:b w:val="0"/>
          <w:sz w:val="24"/>
          <w:szCs w:val="24"/>
        </w:rPr>
      </w:pPr>
      <w:r w:rsidRPr="00DA336F">
        <w:rPr>
          <w:rFonts w:ascii="Calibri" w:hAnsi="Calibri"/>
          <w:b w:val="0"/>
          <w:sz w:val="24"/>
          <w:szCs w:val="24"/>
        </w:rPr>
        <w:t>Reports made under EOP-004 provide a minimum set of information, which may trigger further information requests from EAWG as necessary</w:t>
      </w:r>
    </w:p>
    <w:p w:rsidR="00D7580F" w:rsidRPr="00DA336F" w:rsidRDefault="00D7580F" w:rsidP="00D7580F">
      <w:pPr>
        <w:pStyle w:val="Heading"/>
        <w:spacing w:before="0" w:after="0"/>
        <w:rPr>
          <w:rFonts w:ascii="Calibri" w:hAnsi="Calibri"/>
          <w:b w:val="0"/>
          <w:sz w:val="24"/>
          <w:szCs w:val="24"/>
        </w:rPr>
      </w:pPr>
    </w:p>
    <w:p w:rsidR="00D7580F" w:rsidRPr="00DA336F" w:rsidRDefault="00D7580F" w:rsidP="00D7580F">
      <w:pPr>
        <w:pStyle w:val="Heading"/>
        <w:spacing w:before="0" w:after="0"/>
        <w:rPr>
          <w:rFonts w:ascii="Calibri" w:hAnsi="Calibri"/>
          <w:b w:val="0"/>
          <w:sz w:val="24"/>
          <w:szCs w:val="24"/>
        </w:rPr>
      </w:pPr>
      <w:r w:rsidRPr="00DA336F">
        <w:rPr>
          <w:rFonts w:ascii="Calibri" w:hAnsi="Calibri"/>
          <w:b w:val="0"/>
          <w:sz w:val="24"/>
          <w:szCs w:val="24"/>
        </w:rPr>
        <w:t xml:space="preserve">In an effort to minimize administrative burden, US entities may use the OE-417 form rather than Attachment 2 to report under EOP-004.  The SDT was informed by the DOE of its new online process coming later this year.  In this process, entities may be able to record email addresses associated with their Operating Plan so that when the report is submitted to DOE, it will automatically be forwarded to the posted email addresses, thereby eliminating some administrative burden to forward the report to multiple organizations and agencies.  </w:t>
      </w:r>
    </w:p>
    <w:p w:rsidR="00D7580F" w:rsidRPr="00DA336F" w:rsidRDefault="00D7580F" w:rsidP="00D7580F">
      <w:pPr>
        <w:pStyle w:val="Heading"/>
        <w:spacing w:before="0" w:after="0"/>
        <w:rPr>
          <w:rFonts w:ascii="Calibri" w:hAnsi="Calibri"/>
          <w:b w:val="0"/>
          <w:i/>
          <w:sz w:val="24"/>
          <w:szCs w:val="24"/>
          <w:u w:val="single"/>
        </w:rPr>
      </w:pPr>
    </w:p>
    <w:p w:rsidR="00BE046F" w:rsidRDefault="00BE046F">
      <w:pPr>
        <w:rPr>
          <w:rFonts w:ascii="Calibri" w:hAnsi="Calibri"/>
          <w:b/>
          <w:bCs/>
          <w:i/>
        </w:rPr>
      </w:pPr>
      <w:r>
        <w:rPr>
          <w:rFonts w:ascii="Calibri" w:hAnsi="Calibri"/>
          <w:i/>
        </w:rPr>
        <w:br w:type="page"/>
      </w:r>
    </w:p>
    <w:p w:rsidR="00D7580F" w:rsidRPr="00763862" w:rsidRDefault="00D7580F" w:rsidP="00D7580F">
      <w:pPr>
        <w:pStyle w:val="Heading"/>
        <w:spacing w:before="0" w:after="0"/>
        <w:rPr>
          <w:rFonts w:ascii="Calibri" w:hAnsi="Calibri"/>
          <w:i/>
          <w:sz w:val="24"/>
          <w:szCs w:val="24"/>
        </w:rPr>
      </w:pPr>
      <w:r w:rsidRPr="00763862">
        <w:rPr>
          <w:rFonts w:ascii="Calibri" w:hAnsi="Calibri"/>
          <w:i/>
          <w:sz w:val="24"/>
          <w:szCs w:val="24"/>
        </w:rPr>
        <w:lastRenderedPageBreak/>
        <w:t>Miscellaneous</w:t>
      </w:r>
    </w:p>
    <w:p w:rsidR="00D7580F" w:rsidRPr="00DA336F" w:rsidRDefault="00D7580F" w:rsidP="00D7580F">
      <w:pPr>
        <w:pStyle w:val="Heading"/>
        <w:spacing w:before="0" w:after="0"/>
        <w:rPr>
          <w:rFonts w:ascii="Calibri" w:hAnsi="Calibri"/>
          <w:b w:val="0"/>
          <w:sz w:val="24"/>
          <w:szCs w:val="24"/>
        </w:rPr>
      </w:pPr>
      <w:r w:rsidRPr="00DA336F">
        <w:rPr>
          <w:rFonts w:ascii="Calibri" w:hAnsi="Calibri"/>
          <w:b w:val="0"/>
          <w:sz w:val="24"/>
          <w:szCs w:val="24"/>
        </w:rPr>
        <w:t xml:space="preserve">Other minor edits were made to Attachment 1.  Several words were capitalized </w:t>
      </w:r>
      <w:r w:rsidR="00BE046F">
        <w:rPr>
          <w:rFonts w:ascii="Calibri" w:hAnsi="Calibri"/>
          <w:b w:val="0"/>
          <w:sz w:val="24"/>
          <w:szCs w:val="24"/>
        </w:rPr>
        <w:t>that are</w:t>
      </w:r>
      <w:r w:rsidR="00BE046F" w:rsidRPr="00DA336F">
        <w:rPr>
          <w:rFonts w:ascii="Calibri" w:hAnsi="Calibri"/>
          <w:b w:val="0"/>
          <w:sz w:val="24"/>
          <w:szCs w:val="24"/>
        </w:rPr>
        <w:t xml:space="preserve"> </w:t>
      </w:r>
      <w:r w:rsidRPr="00DA336F">
        <w:rPr>
          <w:rFonts w:ascii="Calibri" w:hAnsi="Calibri"/>
          <w:b w:val="0"/>
          <w:sz w:val="24"/>
          <w:szCs w:val="24"/>
        </w:rPr>
        <w:t xml:space="preserve">not defined terms.  The DSR SDT did not intend for these terms to be capitalized (defined terms) and these words were reverted to lower case.  The event type “Loss of monitoring or all voice communication capability” was divided into two separate events as “Loss of monitoring capability” and “Loss of all voice communication capability”. </w:t>
      </w:r>
    </w:p>
    <w:p w:rsidR="00D7580F" w:rsidRPr="00DA336F" w:rsidRDefault="00D7580F" w:rsidP="00D7580F">
      <w:pPr>
        <w:pStyle w:val="Heading"/>
        <w:spacing w:before="0" w:after="0"/>
        <w:rPr>
          <w:rFonts w:ascii="Calibri" w:hAnsi="Calibri"/>
          <w:b w:val="0"/>
          <w:sz w:val="24"/>
          <w:szCs w:val="24"/>
        </w:rPr>
      </w:pPr>
    </w:p>
    <w:p w:rsidR="00D7580F" w:rsidRDefault="00D7580F" w:rsidP="00D7580F">
      <w:pPr>
        <w:pStyle w:val="Heading"/>
        <w:spacing w:before="0" w:after="0"/>
        <w:rPr>
          <w:rFonts w:ascii="Calibri" w:hAnsi="Calibri"/>
          <w:b w:val="0"/>
          <w:sz w:val="24"/>
          <w:szCs w:val="24"/>
        </w:rPr>
      </w:pPr>
      <w:r w:rsidRPr="00DA336F">
        <w:rPr>
          <w:rFonts w:ascii="Calibri" w:hAnsi="Calibri"/>
          <w:b w:val="0"/>
          <w:sz w:val="24"/>
          <w:szCs w:val="24"/>
        </w:rPr>
        <w:t xml:space="preserve">Attachment 2 was updated to reflect the revisions to Attachment 1.  The reference to “actual or potential events” was removed.  Also, the event type of “other” and “fuel supply emergency” was removed as well.  </w:t>
      </w:r>
    </w:p>
    <w:p w:rsidR="00D7580F" w:rsidRPr="00DA336F" w:rsidRDefault="00D7580F" w:rsidP="00D7580F">
      <w:pPr>
        <w:pStyle w:val="Heading"/>
        <w:spacing w:before="0" w:after="0"/>
        <w:rPr>
          <w:rFonts w:ascii="Calibri" w:hAnsi="Calibri"/>
          <w:b w:val="0"/>
          <w:sz w:val="24"/>
          <w:szCs w:val="24"/>
        </w:rPr>
      </w:pPr>
    </w:p>
    <w:p w:rsidR="00D7580F" w:rsidRDefault="00D7580F" w:rsidP="00D7580F">
      <w:pPr>
        <w:pStyle w:val="Heading"/>
        <w:spacing w:before="0" w:after="0"/>
        <w:rPr>
          <w:rFonts w:ascii="Calibri" w:hAnsi="Calibri"/>
          <w:b w:val="0"/>
          <w:sz w:val="24"/>
          <w:szCs w:val="24"/>
        </w:rPr>
      </w:pPr>
      <w:r w:rsidRPr="00932E0B">
        <w:rPr>
          <w:rFonts w:ascii="Calibri" w:hAnsi="Calibri"/>
          <w:b w:val="0"/>
          <w:sz w:val="24"/>
          <w:szCs w:val="24"/>
        </w:rPr>
        <w:t>It was noted that ‘Transmission Facilities’ is not a defined term in the NERC Glossary.  Transmission and Facilities are separately defined terms.  The combination of these two definitions are what the DSR SDT has based the applicability of “Transmission Facilities” in Attachment 1.</w:t>
      </w:r>
    </w:p>
    <w:p w:rsidR="00D7580F" w:rsidRDefault="00D7580F" w:rsidP="00D7580F">
      <w:pPr>
        <w:pStyle w:val="Heading"/>
        <w:spacing w:before="0" w:after="0"/>
        <w:ind w:left="-90"/>
        <w:rPr>
          <w:rFonts w:ascii="Calibri" w:hAnsi="Calibri"/>
          <w:b w:val="0"/>
          <w:sz w:val="24"/>
          <w:szCs w:val="24"/>
        </w:rPr>
      </w:pPr>
    </w:p>
    <w:p w:rsidR="0048146A" w:rsidRPr="0048146A" w:rsidRDefault="0048146A">
      <w:pPr>
        <w:rPr>
          <w:rFonts w:asciiTheme="minorHAnsi" w:hAnsiTheme="minorHAnsi"/>
          <w:b/>
          <w:bCs/>
        </w:rPr>
      </w:pPr>
    </w:p>
    <w:p w:rsidR="00642700" w:rsidRDefault="00642700" w:rsidP="00642700">
      <w:pPr>
        <w:rPr>
          <w:rFonts w:asciiTheme="minorHAnsi" w:hAnsiTheme="minorHAnsi"/>
          <w:b/>
        </w:rPr>
      </w:pPr>
      <w:r w:rsidRPr="00786AD7">
        <w:rPr>
          <w:rFonts w:asciiTheme="minorHAnsi" w:hAnsiTheme="minorHAnsi"/>
          <w:b/>
        </w:rPr>
        <w:t xml:space="preserve">You do not have to answer all questions.  </w:t>
      </w:r>
    </w:p>
    <w:p w:rsidR="00763862" w:rsidRPr="00786AD7" w:rsidRDefault="00763862" w:rsidP="00642700">
      <w:pPr>
        <w:rPr>
          <w:rStyle w:val="BoxText"/>
          <w:rFonts w:asciiTheme="minorHAnsi" w:eastAsiaTheme="majorEastAsia" w:hAnsiTheme="minorHAnsi"/>
          <w:sz w:val="24"/>
        </w:rPr>
      </w:pPr>
    </w:p>
    <w:p w:rsidR="00642700" w:rsidRPr="00786AD7" w:rsidRDefault="00642700" w:rsidP="00642700">
      <w:pPr>
        <w:pStyle w:val="Bullet"/>
        <w:numPr>
          <w:ilvl w:val="0"/>
          <w:numId w:val="19"/>
        </w:numPr>
        <w:tabs>
          <w:tab w:val="clear" w:pos="720"/>
          <w:tab w:val="num" w:pos="360"/>
        </w:tabs>
        <w:spacing w:after="120"/>
        <w:ind w:left="360"/>
        <w:rPr>
          <w:rFonts w:asciiTheme="minorHAnsi" w:hAnsiTheme="minorHAnsi"/>
          <w:b/>
          <w:sz w:val="24"/>
          <w:szCs w:val="24"/>
        </w:rPr>
      </w:pPr>
      <w:r w:rsidRPr="00786AD7">
        <w:rPr>
          <w:rFonts w:asciiTheme="minorHAnsi" w:hAnsiTheme="minorHAnsi" w:cs="Verdana"/>
          <w:b/>
          <w:sz w:val="24"/>
          <w:szCs w:val="24"/>
        </w:rPr>
        <w:t xml:space="preserve">The </w:t>
      </w:r>
      <w:r w:rsidR="0048146A">
        <w:rPr>
          <w:rFonts w:asciiTheme="minorHAnsi" w:hAnsiTheme="minorHAnsi" w:cs="Verdana"/>
          <w:b/>
          <w:sz w:val="24"/>
          <w:szCs w:val="24"/>
        </w:rPr>
        <w:t>DSR S</w:t>
      </w:r>
      <w:r w:rsidRPr="00786AD7">
        <w:rPr>
          <w:rFonts w:asciiTheme="minorHAnsi" w:hAnsiTheme="minorHAnsi" w:cs="Verdana"/>
          <w:b/>
          <w:sz w:val="24"/>
          <w:szCs w:val="24"/>
        </w:rPr>
        <w:t xml:space="preserve">DT has revised </w:t>
      </w:r>
      <w:r w:rsidR="0048146A">
        <w:rPr>
          <w:rFonts w:asciiTheme="minorHAnsi" w:hAnsiTheme="minorHAnsi" w:cs="Verdana"/>
          <w:b/>
          <w:sz w:val="24"/>
          <w:szCs w:val="24"/>
        </w:rPr>
        <w:t xml:space="preserve">EOP-004-2 by </w:t>
      </w:r>
      <w:r w:rsidR="00D7580F">
        <w:rPr>
          <w:rFonts w:asciiTheme="minorHAnsi" w:hAnsiTheme="minorHAnsi" w:cs="Verdana"/>
          <w:b/>
          <w:sz w:val="24"/>
          <w:szCs w:val="24"/>
        </w:rPr>
        <w:t>removing Requirement 1, Part 1.4 and separating Parts 1.3 and 1.5 into new Requirements R3 and R4</w:t>
      </w:r>
      <w:r w:rsidR="0048146A">
        <w:rPr>
          <w:rFonts w:asciiTheme="minorHAnsi" w:hAnsiTheme="minorHAnsi" w:cs="Verdana"/>
          <w:b/>
          <w:sz w:val="24"/>
          <w:szCs w:val="24"/>
        </w:rPr>
        <w:t xml:space="preserve">.  </w:t>
      </w:r>
      <w:r w:rsidR="00D7580F">
        <w:rPr>
          <w:rFonts w:asciiTheme="minorHAnsi" w:hAnsiTheme="minorHAnsi" w:cs="Verdana"/>
          <w:b/>
          <w:sz w:val="24"/>
          <w:szCs w:val="24"/>
        </w:rPr>
        <w:t>R</w:t>
      </w:r>
      <w:r w:rsidR="0048146A">
        <w:rPr>
          <w:rFonts w:asciiTheme="minorHAnsi" w:hAnsiTheme="minorHAnsi" w:cs="Verdana"/>
          <w:b/>
          <w:sz w:val="24"/>
          <w:szCs w:val="24"/>
        </w:rPr>
        <w:t xml:space="preserve">equirement </w:t>
      </w:r>
      <w:r w:rsidR="00D7580F">
        <w:rPr>
          <w:rFonts w:asciiTheme="minorHAnsi" w:hAnsiTheme="minorHAnsi" w:cs="Verdana"/>
          <w:b/>
          <w:sz w:val="24"/>
          <w:szCs w:val="24"/>
        </w:rPr>
        <w:t>R3</w:t>
      </w:r>
      <w:r w:rsidR="0048146A">
        <w:rPr>
          <w:rFonts w:asciiTheme="minorHAnsi" w:hAnsiTheme="minorHAnsi" w:cs="Verdana"/>
          <w:b/>
          <w:sz w:val="24"/>
          <w:szCs w:val="24"/>
        </w:rPr>
        <w:t xml:space="preserve"> calls for an annual test of the communications portion of the Operating Plan a</w:t>
      </w:r>
      <w:r w:rsidR="00D7580F">
        <w:rPr>
          <w:rFonts w:asciiTheme="minorHAnsi" w:hAnsiTheme="minorHAnsi" w:cs="Verdana"/>
          <w:b/>
          <w:sz w:val="24"/>
          <w:szCs w:val="24"/>
        </w:rPr>
        <w:t xml:space="preserve">nd Requirement R4 requires an annual review of the </w:t>
      </w:r>
      <w:r w:rsidR="0048146A">
        <w:rPr>
          <w:rFonts w:asciiTheme="minorHAnsi" w:hAnsiTheme="minorHAnsi" w:cs="Verdana"/>
          <w:b/>
          <w:sz w:val="24"/>
          <w:szCs w:val="24"/>
        </w:rPr>
        <w:t>Operating Plan.</w:t>
      </w:r>
      <w:r w:rsidR="00964423">
        <w:rPr>
          <w:rFonts w:asciiTheme="minorHAnsi" w:hAnsiTheme="minorHAnsi" w:cs="Verdana"/>
          <w:b/>
          <w:sz w:val="24"/>
          <w:szCs w:val="24"/>
        </w:rPr>
        <w:t xml:space="preserve">  </w:t>
      </w:r>
      <w:r w:rsidRPr="00786AD7">
        <w:rPr>
          <w:rFonts w:asciiTheme="minorHAnsi" w:hAnsiTheme="minorHAnsi" w:cs="Verdana"/>
          <w:b/>
          <w:sz w:val="24"/>
          <w:szCs w:val="24"/>
        </w:rPr>
        <w:t xml:space="preserve">Do you agree </w:t>
      </w:r>
      <w:r w:rsidR="00402B8E">
        <w:rPr>
          <w:rFonts w:asciiTheme="minorHAnsi" w:hAnsiTheme="minorHAnsi" w:cs="Verdana"/>
          <w:b/>
          <w:sz w:val="24"/>
          <w:szCs w:val="24"/>
        </w:rPr>
        <w:t>with this revision</w:t>
      </w:r>
      <w:r w:rsidRPr="00786AD7">
        <w:rPr>
          <w:rFonts w:asciiTheme="minorHAnsi" w:hAnsiTheme="minorHAnsi" w:cs="Verdana"/>
          <w:b/>
          <w:sz w:val="24"/>
          <w:szCs w:val="24"/>
        </w:rPr>
        <w:t xml:space="preserve">?  </w:t>
      </w:r>
      <w:r w:rsidRPr="00786AD7">
        <w:rPr>
          <w:rFonts w:asciiTheme="minorHAnsi" w:hAnsiTheme="minorHAnsi"/>
          <w:b/>
          <w:sz w:val="24"/>
          <w:szCs w:val="24"/>
        </w:rPr>
        <w:t xml:space="preserve">If not, please explain in the comment area below.  </w:t>
      </w:r>
    </w:p>
    <w:p w:rsidR="00642700" w:rsidRPr="00786AD7" w:rsidRDefault="00E40534" w:rsidP="00642700">
      <w:pPr>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fldChar w:fldCharType="begin">
          <w:ffData>
            <w:name w:val="Check4"/>
            <w:enabled/>
            <w:calcOnExit w:val="0"/>
            <w:checkBox>
              <w:sizeAuto/>
              <w:default w:val="0"/>
            </w:checkBox>
          </w:ffData>
        </w:fldChar>
      </w:r>
      <w:r w:rsidR="00642700" w:rsidRPr="00786AD7">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86AD7">
        <w:rPr>
          <w:rStyle w:val="BoxText"/>
          <w:rFonts w:asciiTheme="minorHAnsi" w:eastAsiaTheme="majorEastAsia" w:hAnsiTheme="minorHAnsi"/>
          <w:sz w:val="24"/>
        </w:rPr>
        <w:fldChar w:fldCharType="end"/>
      </w:r>
      <w:r w:rsidR="00642700" w:rsidRPr="00786AD7">
        <w:rPr>
          <w:rStyle w:val="BoxText"/>
          <w:rFonts w:asciiTheme="minorHAnsi" w:eastAsiaTheme="majorEastAsia" w:hAnsiTheme="minorHAnsi"/>
          <w:sz w:val="24"/>
        </w:rPr>
        <w:t xml:space="preserve"> Yes </w:t>
      </w:r>
    </w:p>
    <w:p w:rsidR="00642700" w:rsidRPr="00786AD7" w:rsidRDefault="00E40534" w:rsidP="00642700">
      <w:pPr>
        <w:pStyle w:val="Header"/>
        <w:spacing w:before="60" w:after="60"/>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fldChar w:fldCharType="begin">
          <w:ffData>
            <w:name w:val="Check4"/>
            <w:enabled/>
            <w:calcOnExit w:val="0"/>
            <w:checkBox>
              <w:sizeAuto/>
              <w:default w:val="0"/>
            </w:checkBox>
          </w:ffData>
        </w:fldChar>
      </w:r>
      <w:r w:rsidR="00642700" w:rsidRPr="00786AD7">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86AD7">
        <w:rPr>
          <w:rStyle w:val="BoxText"/>
          <w:rFonts w:asciiTheme="minorHAnsi" w:eastAsiaTheme="majorEastAsia" w:hAnsiTheme="minorHAnsi"/>
          <w:sz w:val="24"/>
        </w:rPr>
        <w:fldChar w:fldCharType="end"/>
      </w:r>
      <w:r w:rsidR="00642700" w:rsidRPr="00786AD7">
        <w:rPr>
          <w:rStyle w:val="BoxText"/>
          <w:rFonts w:asciiTheme="minorHAnsi" w:eastAsiaTheme="majorEastAsia" w:hAnsiTheme="minorHAnsi"/>
          <w:sz w:val="24"/>
        </w:rPr>
        <w:t xml:space="preserve"> No </w:t>
      </w:r>
    </w:p>
    <w:p w:rsidR="00642700" w:rsidRPr="00786AD7" w:rsidRDefault="00642700" w:rsidP="00642700">
      <w:pPr>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t xml:space="preserve">Comments: </w:t>
      </w:r>
    </w:p>
    <w:p w:rsidR="00642700" w:rsidRPr="00786AD7" w:rsidRDefault="00642700" w:rsidP="00642700">
      <w:pPr>
        <w:rPr>
          <w:rStyle w:val="BoxText"/>
          <w:rFonts w:asciiTheme="minorHAnsi" w:eastAsiaTheme="majorEastAsia" w:hAnsiTheme="minorHAnsi"/>
          <w:sz w:val="24"/>
        </w:rPr>
      </w:pPr>
    </w:p>
    <w:p w:rsidR="00FF626B" w:rsidRPr="00786AD7" w:rsidRDefault="00FF626B" w:rsidP="00FF626B">
      <w:pPr>
        <w:pStyle w:val="Bullet"/>
        <w:numPr>
          <w:ilvl w:val="0"/>
          <w:numId w:val="19"/>
        </w:numPr>
        <w:tabs>
          <w:tab w:val="clear" w:pos="720"/>
          <w:tab w:val="num" w:pos="360"/>
        </w:tabs>
        <w:spacing w:after="120"/>
        <w:ind w:left="360"/>
        <w:rPr>
          <w:rFonts w:asciiTheme="minorHAnsi" w:hAnsiTheme="minorHAnsi"/>
          <w:b/>
          <w:sz w:val="24"/>
          <w:szCs w:val="24"/>
        </w:rPr>
      </w:pPr>
      <w:r w:rsidRPr="00786AD7">
        <w:rPr>
          <w:rFonts w:asciiTheme="minorHAnsi" w:hAnsiTheme="minorHAnsi" w:cs="Verdana"/>
          <w:b/>
          <w:sz w:val="24"/>
          <w:szCs w:val="24"/>
        </w:rPr>
        <w:t xml:space="preserve">The </w:t>
      </w:r>
      <w:r w:rsidR="009946D9">
        <w:rPr>
          <w:rFonts w:asciiTheme="minorHAnsi" w:hAnsiTheme="minorHAnsi" w:cs="Verdana"/>
          <w:b/>
          <w:sz w:val="24"/>
          <w:szCs w:val="24"/>
        </w:rPr>
        <w:t>DSR</w:t>
      </w:r>
      <w:r w:rsidRPr="00786AD7">
        <w:rPr>
          <w:rFonts w:asciiTheme="minorHAnsi" w:hAnsiTheme="minorHAnsi" w:cs="Verdana"/>
          <w:b/>
          <w:sz w:val="24"/>
          <w:szCs w:val="24"/>
        </w:rPr>
        <w:t xml:space="preserve"> SDT </w:t>
      </w:r>
      <w:r w:rsidR="009946D9">
        <w:rPr>
          <w:rFonts w:asciiTheme="minorHAnsi" w:hAnsiTheme="minorHAnsi" w:cs="Verdana"/>
          <w:b/>
          <w:sz w:val="24"/>
          <w:szCs w:val="24"/>
        </w:rPr>
        <w:t xml:space="preserve">made clarifying revisions to Attachment 1 based on stakeholder feedback.  </w:t>
      </w:r>
      <w:r>
        <w:rPr>
          <w:rFonts w:asciiTheme="minorHAnsi" w:hAnsiTheme="minorHAnsi" w:cs="Verdana"/>
          <w:b/>
          <w:sz w:val="24"/>
          <w:szCs w:val="24"/>
        </w:rPr>
        <w:t>Do you agree with th</w:t>
      </w:r>
      <w:r w:rsidR="009946D9">
        <w:rPr>
          <w:rFonts w:asciiTheme="minorHAnsi" w:hAnsiTheme="minorHAnsi" w:cs="Verdana"/>
          <w:b/>
          <w:sz w:val="24"/>
          <w:szCs w:val="24"/>
        </w:rPr>
        <w:t>ese revisions</w:t>
      </w:r>
      <w:r w:rsidRPr="00786AD7">
        <w:rPr>
          <w:rFonts w:asciiTheme="minorHAnsi" w:hAnsiTheme="minorHAnsi" w:cs="Verdana"/>
          <w:b/>
          <w:sz w:val="24"/>
          <w:szCs w:val="24"/>
        </w:rPr>
        <w:t xml:space="preserve">?  </w:t>
      </w:r>
      <w:r w:rsidRPr="00786AD7">
        <w:rPr>
          <w:rFonts w:asciiTheme="minorHAnsi" w:hAnsiTheme="minorHAnsi"/>
          <w:b/>
          <w:sz w:val="24"/>
          <w:szCs w:val="24"/>
        </w:rPr>
        <w:t xml:space="preserve">If not, please explain in the comment area below.  </w:t>
      </w:r>
    </w:p>
    <w:p w:rsidR="00FF626B" w:rsidRPr="00786AD7" w:rsidRDefault="00E40534" w:rsidP="00FF626B">
      <w:pPr>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fldChar w:fldCharType="begin">
          <w:ffData>
            <w:name w:val="Check4"/>
            <w:enabled/>
            <w:calcOnExit w:val="0"/>
            <w:checkBox>
              <w:sizeAuto/>
              <w:default w:val="0"/>
            </w:checkBox>
          </w:ffData>
        </w:fldChar>
      </w:r>
      <w:r w:rsidR="00FF626B" w:rsidRPr="00786AD7">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86AD7">
        <w:rPr>
          <w:rStyle w:val="BoxText"/>
          <w:rFonts w:asciiTheme="minorHAnsi" w:eastAsiaTheme="majorEastAsia" w:hAnsiTheme="minorHAnsi"/>
          <w:sz w:val="24"/>
        </w:rPr>
        <w:fldChar w:fldCharType="end"/>
      </w:r>
      <w:r w:rsidR="00FF626B" w:rsidRPr="00786AD7">
        <w:rPr>
          <w:rStyle w:val="BoxText"/>
          <w:rFonts w:asciiTheme="minorHAnsi" w:eastAsiaTheme="majorEastAsia" w:hAnsiTheme="minorHAnsi"/>
          <w:sz w:val="24"/>
        </w:rPr>
        <w:t xml:space="preserve"> Yes </w:t>
      </w:r>
    </w:p>
    <w:p w:rsidR="00FF626B" w:rsidRPr="00786AD7" w:rsidRDefault="00E40534" w:rsidP="00FF626B">
      <w:pPr>
        <w:pStyle w:val="Header"/>
        <w:spacing w:before="60" w:after="60"/>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fldChar w:fldCharType="begin">
          <w:ffData>
            <w:name w:val="Check4"/>
            <w:enabled/>
            <w:calcOnExit w:val="0"/>
            <w:checkBox>
              <w:sizeAuto/>
              <w:default w:val="0"/>
            </w:checkBox>
          </w:ffData>
        </w:fldChar>
      </w:r>
      <w:r w:rsidR="00FF626B" w:rsidRPr="00786AD7">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86AD7">
        <w:rPr>
          <w:rStyle w:val="BoxText"/>
          <w:rFonts w:asciiTheme="minorHAnsi" w:eastAsiaTheme="majorEastAsia" w:hAnsiTheme="minorHAnsi"/>
          <w:sz w:val="24"/>
        </w:rPr>
        <w:fldChar w:fldCharType="end"/>
      </w:r>
      <w:r w:rsidR="00FF626B" w:rsidRPr="00786AD7">
        <w:rPr>
          <w:rStyle w:val="BoxText"/>
          <w:rFonts w:asciiTheme="minorHAnsi" w:eastAsiaTheme="majorEastAsia" w:hAnsiTheme="minorHAnsi"/>
          <w:sz w:val="24"/>
        </w:rPr>
        <w:t xml:space="preserve"> No </w:t>
      </w:r>
    </w:p>
    <w:p w:rsidR="00642700" w:rsidRDefault="00FF626B" w:rsidP="00EF2574">
      <w:pPr>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t xml:space="preserve">Comments: </w:t>
      </w:r>
    </w:p>
    <w:p w:rsidR="00EF2574" w:rsidRPr="00EF2574" w:rsidRDefault="00EF2574" w:rsidP="00EF2574">
      <w:pPr>
        <w:ind w:left="360"/>
        <w:rPr>
          <w:rFonts w:asciiTheme="minorHAnsi" w:eastAsiaTheme="majorEastAsia" w:hAnsiTheme="minorHAnsi"/>
        </w:rPr>
      </w:pPr>
    </w:p>
    <w:p w:rsidR="006A000C" w:rsidRDefault="006A000C">
      <w:pPr>
        <w:rPr>
          <w:rFonts w:asciiTheme="minorHAnsi" w:hAnsiTheme="minorHAnsi" w:cs="Verdana"/>
          <w:b/>
        </w:rPr>
      </w:pPr>
      <w:r>
        <w:rPr>
          <w:rFonts w:asciiTheme="minorHAnsi" w:hAnsiTheme="minorHAnsi" w:cs="Verdana"/>
          <w:b/>
        </w:rPr>
        <w:br w:type="page"/>
      </w:r>
    </w:p>
    <w:p w:rsidR="00532981" w:rsidRPr="00786AD7" w:rsidRDefault="00532981" w:rsidP="00532981">
      <w:pPr>
        <w:pStyle w:val="Bullet"/>
        <w:numPr>
          <w:ilvl w:val="0"/>
          <w:numId w:val="19"/>
        </w:numPr>
        <w:tabs>
          <w:tab w:val="clear" w:pos="720"/>
          <w:tab w:val="num" w:pos="360"/>
        </w:tabs>
        <w:spacing w:after="120"/>
        <w:ind w:left="360"/>
        <w:rPr>
          <w:rFonts w:asciiTheme="minorHAnsi" w:hAnsiTheme="minorHAnsi"/>
          <w:b/>
          <w:sz w:val="24"/>
          <w:szCs w:val="24"/>
        </w:rPr>
      </w:pPr>
      <w:r w:rsidRPr="00532981">
        <w:rPr>
          <w:rFonts w:asciiTheme="minorHAnsi" w:hAnsiTheme="minorHAnsi" w:cs="Verdana"/>
          <w:b/>
          <w:sz w:val="24"/>
          <w:szCs w:val="24"/>
        </w:rPr>
        <w:lastRenderedPageBreak/>
        <w:t>The DSR SDT has proposed a new Section 812 to be incorporated into the NERC Rules of Procedure.  Do you agree with the proposed addition?</w:t>
      </w:r>
      <w:r w:rsidRPr="00786AD7">
        <w:rPr>
          <w:rFonts w:asciiTheme="minorHAnsi" w:hAnsiTheme="minorHAnsi" w:cs="Verdana"/>
          <w:b/>
          <w:sz w:val="24"/>
          <w:szCs w:val="24"/>
        </w:rPr>
        <w:t xml:space="preserve">  </w:t>
      </w:r>
      <w:r w:rsidRPr="00786AD7">
        <w:rPr>
          <w:rFonts w:asciiTheme="minorHAnsi" w:hAnsiTheme="minorHAnsi"/>
          <w:b/>
          <w:sz w:val="24"/>
          <w:szCs w:val="24"/>
        </w:rPr>
        <w:t xml:space="preserve">If not, please explain in the comment area below.  </w:t>
      </w:r>
    </w:p>
    <w:p w:rsidR="00532981" w:rsidRPr="00786AD7" w:rsidRDefault="00E40534" w:rsidP="00532981">
      <w:pPr>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fldChar w:fldCharType="begin">
          <w:ffData>
            <w:name w:val="Check4"/>
            <w:enabled/>
            <w:calcOnExit w:val="0"/>
            <w:checkBox>
              <w:sizeAuto/>
              <w:default w:val="0"/>
            </w:checkBox>
          </w:ffData>
        </w:fldChar>
      </w:r>
      <w:r w:rsidR="00532981" w:rsidRPr="00786AD7">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86AD7">
        <w:rPr>
          <w:rStyle w:val="BoxText"/>
          <w:rFonts w:asciiTheme="minorHAnsi" w:eastAsiaTheme="majorEastAsia" w:hAnsiTheme="minorHAnsi"/>
          <w:sz w:val="24"/>
        </w:rPr>
        <w:fldChar w:fldCharType="end"/>
      </w:r>
      <w:r w:rsidR="00532981" w:rsidRPr="00786AD7">
        <w:rPr>
          <w:rStyle w:val="BoxText"/>
          <w:rFonts w:asciiTheme="minorHAnsi" w:eastAsiaTheme="majorEastAsia" w:hAnsiTheme="minorHAnsi"/>
          <w:sz w:val="24"/>
        </w:rPr>
        <w:t xml:space="preserve"> Yes </w:t>
      </w:r>
    </w:p>
    <w:p w:rsidR="00532981" w:rsidRPr="00786AD7" w:rsidRDefault="00E40534" w:rsidP="00532981">
      <w:pPr>
        <w:pStyle w:val="Header"/>
        <w:spacing w:before="60" w:after="60"/>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fldChar w:fldCharType="begin">
          <w:ffData>
            <w:name w:val="Check4"/>
            <w:enabled/>
            <w:calcOnExit w:val="0"/>
            <w:checkBox>
              <w:sizeAuto/>
              <w:default w:val="0"/>
            </w:checkBox>
          </w:ffData>
        </w:fldChar>
      </w:r>
      <w:r w:rsidR="00532981" w:rsidRPr="00786AD7">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86AD7">
        <w:rPr>
          <w:rStyle w:val="BoxText"/>
          <w:rFonts w:asciiTheme="minorHAnsi" w:eastAsiaTheme="majorEastAsia" w:hAnsiTheme="minorHAnsi"/>
          <w:sz w:val="24"/>
        </w:rPr>
        <w:fldChar w:fldCharType="end"/>
      </w:r>
      <w:r w:rsidR="00532981" w:rsidRPr="00786AD7">
        <w:rPr>
          <w:rStyle w:val="BoxText"/>
          <w:rFonts w:asciiTheme="minorHAnsi" w:eastAsiaTheme="majorEastAsia" w:hAnsiTheme="minorHAnsi"/>
          <w:sz w:val="24"/>
        </w:rPr>
        <w:t xml:space="preserve"> No </w:t>
      </w:r>
    </w:p>
    <w:p w:rsidR="00532981" w:rsidRDefault="00532981" w:rsidP="00532981">
      <w:pPr>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t xml:space="preserve">Comments: </w:t>
      </w:r>
    </w:p>
    <w:p w:rsidR="00532981" w:rsidRPr="00EF2574" w:rsidRDefault="00532981" w:rsidP="00532981">
      <w:pPr>
        <w:ind w:left="360"/>
        <w:rPr>
          <w:rFonts w:asciiTheme="minorHAnsi" w:eastAsiaTheme="majorEastAsia" w:hAnsiTheme="minorHAnsi"/>
        </w:rPr>
      </w:pPr>
    </w:p>
    <w:p w:rsidR="00642700" w:rsidRPr="00786AD7" w:rsidRDefault="00642700" w:rsidP="00642700">
      <w:pPr>
        <w:pStyle w:val="ListBullet"/>
        <w:numPr>
          <w:ilvl w:val="0"/>
          <w:numId w:val="19"/>
        </w:numPr>
        <w:tabs>
          <w:tab w:val="clear" w:pos="720"/>
        </w:tabs>
        <w:spacing w:after="120"/>
        <w:ind w:left="360"/>
        <w:rPr>
          <w:rStyle w:val="BoxText"/>
          <w:rFonts w:asciiTheme="minorHAnsi" w:eastAsiaTheme="majorEastAsia" w:hAnsiTheme="minorHAnsi"/>
          <w:b/>
          <w:sz w:val="24"/>
          <w:szCs w:val="24"/>
        </w:rPr>
      </w:pPr>
      <w:r w:rsidRPr="00786AD7">
        <w:rPr>
          <w:rFonts w:asciiTheme="minorHAnsi" w:hAnsiTheme="minorHAnsi"/>
          <w:b/>
          <w:sz w:val="24"/>
          <w:szCs w:val="24"/>
        </w:rPr>
        <w:t xml:space="preserve">Do you have any other comment, not expressed in </w:t>
      </w:r>
      <w:r w:rsidR="00D7580F">
        <w:rPr>
          <w:rFonts w:asciiTheme="minorHAnsi" w:hAnsiTheme="minorHAnsi"/>
          <w:b/>
          <w:sz w:val="24"/>
          <w:szCs w:val="24"/>
        </w:rPr>
        <w:t xml:space="preserve">the </w:t>
      </w:r>
      <w:r w:rsidRPr="00786AD7">
        <w:rPr>
          <w:rFonts w:asciiTheme="minorHAnsi" w:hAnsiTheme="minorHAnsi"/>
          <w:b/>
          <w:sz w:val="24"/>
          <w:szCs w:val="24"/>
        </w:rPr>
        <w:t xml:space="preserve">questions above, for the </w:t>
      </w:r>
      <w:r w:rsidR="0048146A">
        <w:rPr>
          <w:rFonts w:asciiTheme="minorHAnsi" w:hAnsiTheme="minorHAnsi"/>
          <w:b/>
          <w:sz w:val="24"/>
          <w:szCs w:val="24"/>
        </w:rPr>
        <w:t>DSR</w:t>
      </w:r>
      <w:r w:rsidRPr="00786AD7">
        <w:rPr>
          <w:rFonts w:asciiTheme="minorHAnsi" w:hAnsiTheme="minorHAnsi"/>
          <w:b/>
          <w:sz w:val="24"/>
          <w:szCs w:val="24"/>
        </w:rPr>
        <w:t xml:space="preserve"> SDT? </w:t>
      </w:r>
    </w:p>
    <w:p w:rsidR="00642700" w:rsidRDefault="00642700" w:rsidP="00947740">
      <w:pPr>
        <w:ind w:left="360"/>
        <w:rPr>
          <w:rStyle w:val="BodyCopy"/>
        </w:rPr>
      </w:pPr>
      <w:r w:rsidRPr="00786AD7">
        <w:rPr>
          <w:rStyle w:val="BoxText"/>
          <w:rFonts w:asciiTheme="minorHAnsi" w:eastAsiaTheme="majorEastAsia" w:hAnsiTheme="minorHAnsi"/>
          <w:sz w:val="24"/>
        </w:rPr>
        <w:t xml:space="preserve">Comments: </w:t>
      </w:r>
    </w:p>
    <w:sectPr w:rsidR="00642700" w:rsidSect="00FF6BE1">
      <w:headerReference w:type="default" r:id="rId10"/>
      <w:footerReference w:type="default" r:id="rId11"/>
      <w:headerReference w:type="first" r:id="rId12"/>
      <w:footerReference w:type="first" r:id="rId13"/>
      <w:pgSz w:w="12240" w:h="15840" w:code="1"/>
      <w:pgMar w:top="2520" w:right="1080" w:bottom="1440" w:left="1080" w:header="72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0AEF" w:rsidRDefault="008E0AEF">
      <w:r>
        <w:separator/>
      </w:r>
    </w:p>
  </w:endnote>
  <w:endnote w:type="continuationSeparator" w:id="0">
    <w:p w:rsidR="008E0AEF" w:rsidRDefault="008E0A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DB6" w:rsidRPr="00642700" w:rsidRDefault="00E40534" w:rsidP="00D228D6">
    <w:pPr>
      <w:rPr>
        <w:rFonts w:asciiTheme="minorHAnsi" w:hAnsiTheme="minorHAnsi"/>
        <w:sz w:val="18"/>
        <w:szCs w:val="18"/>
      </w:rPr>
    </w:pPr>
    <w:r>
      <w:rPr>
        <w:rFonts w:asciiTheme="minorHAnsi" w:hAnsiTheme="minorHAnsi"/>
        <w:noProof/>
        <w:sz w:val="18"/>
        <w:szCs w:val="18"/>
      </w:rPr>
      <w:pict>
        <v:shapetype id="_x0000_t202" coordsize="21600,21600" o:spt="202" path="m,l,21600r21600,l21600,xe">
          <v:stroke joinstyle="miter"/>
          <v:path gradientshapeok="t" o:connecttype="rect"/>
        </v:shapetype>
        <v:shape id="Text Box 2" o:spid="_x0000_s2049" type="#_x0000_t202" style="position:absolute;margin-left:485.9pt;margin-top:-3.9pt;width:27pt;height:22.2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he1tQIAALg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" filled="f" stroked="f">
          <v:textbox>
            <w:txbxContent>
              <w:p w:rsidR="00D12DB6" w:rsidRPr="00642700" w:rsidRDefault="00E40534" w:rsidP="00510652">
                <w:pPr>
                  <w:jc w:val="right"/>
                  <w:rPr>
                    <w:rFonts w:asciiTheme="minorHAnsi" w:hAnsiTheme="minorHAnsi"/>
                    <w:color w:val="1B4C80"/>
                    <w:sz w:val="18"/>
                    <w:szCs w:val="18"/>
                  </w:rPr>
                </w:pPr>
                <w:r w:rsidRPr="00642700">
                  <w:rPr>
                    <w:rStyle w:val="PageNumber"/>
                    <w:rFonts w:asciiTheme="minorHAnsi" w:hAnsiTheme="minorHAnsi"/>
                    <w:b/>
                    <w:color w:val="1B4C80"/>
                    <w:sz w:val="18"/>
                    <w:szCs w:val="18"/>
                  </w:rPr>
                  <w:fldChar w:fldCharType="begin"/>
                </w:r>
                <w:r w:rsidR="00D12DB6" w:rsidRPr="00642700">
                  <w:rPr>
                    <w:rStyle w:val="PageNumber"/>
                    <w:rFonts w:asciiTheme="minorHAnsi" w:hAnsiTheme="minorHAnsi"/>
                    <w:b/>
                    <w:color w:val="1B4C80"/>
                    <w:sz w:val="18"/>
                    <w:szCs w:val="18"/>
                  </w:rPr>
                  <w:instrText xml:space="preserve"> PAGE </w:instrText>
                </w:r>
                <w:r w:rsidRPr="00642700">
                  <w:rPr>
                    <w:rStyle w:val="PageNumber"/>
                    <w:rFonts w:asciiTheme="minorHAnsi" w:hAnsiTheme="minorHAnsi"/>
                    <w:b/>
                    <w:color w:val="1B4C80"/>
                    <w:sz w:val="18"/>
                    <w:szCs w:val="18"/>
                  </w:rPr>
                  <w:fldChar w:fldCharType="separate"/>
                </w:r>
                <w:r w:rsidR="00ED0CEF">
                  <w:rPr>
                    <w:rStyle w:val="PageNumber"/>
                    <w:rFonts w:asciiTheme="minorHAnsi" w:hAnsiTheme="minorHAnsi"/>
                    <w:b/>
                    <w:noProof/>
                    <w:color w:val="1B4C80"/>
                    <w:sz w:val="18"/>
                    <w:szCs w:val="18"/>
                  </w:rPr>
                  <w:t>7</w:t>
                </w:r>
                <w:r w:rsidRPr="00642700">
                  <w:rPr>
                    <w:rStyle w:val="PageNumber"/>
                    <w:rFonts w:asciiTheme="minorHAnsi" w:hAnsiTheme="minorHAnsi"/>
                    <w:b/>
                    <w:color w:val="1B4C80"/>
                    <w:sz w:val="18"/>
                    <w:szCs w:val="18"/>
                  </w:rPr>
                  <w:fldChar w:fldCharType="end"/>
                </w:r>
              </w:p>
            </w:txbxContent>
          </v:textbox>
        </v:shape>
      </w:pict>
    </w:r>
    <w:r w:rsidR="00D12DB6" w:rsidRPr="00642700">
      <w:rPr>
        <w:rFonts w:asciiTheme="minorHAnsi" w:hAnsiTheme="minorHAnsi"/>
        <w:noProof/>
        <w:sz w:val="18"/>
        <w:szCs w:val="18"/>
      </w:rPr>
      <w:drawing>
        <wp:anchor distT="0" distB="0" distL="114300" distR="114300" simplePos="0" relativeHeight="251664895" behindDoc="1" locked="0" layoutInCell="1" allowOverlap="1">
          <wp:simplePos x="0" y="0"/>
          <wp:positionH relativeFrom="page">
            <wp:posOffset>0</wp:posOffset>
          </wp:positionH>
          <wp:positionV relativeFrom="page">
            <wp:posOffset>9705975</wp:posOffset>
          </wp:positionV>
          <wp:extent cx="7810500" cy="390525"/>
          <wp:effectExtent l="19050" t="0" r="0" b="0"/>
          <wp:wrapNone/>
          <wp:docPr id="2" name="Picture 91" descr="C:\Users\burlovichm.DAHQ\Desktop\NERC_Media Release_page2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Users\burlovichm.DAHQ\Desktop\NERC_Media Release_page2_final.jpg"/>
                  <pic:cNvPicPr>
                    <a:picLocks noChangeAspect="1" noChangeArrowheads="1"/>
                  </pic:cNvPicPr>
                </pic:nvPicPr>
                <pic:blipFill>
                  <a:blip r:embed="rId1" cstate="screen"/>
                  <a:srcRect/>
                  <a:stretch>
                    <a:fillRect/>
                  </a:stretch>
                </pic:blipFill>
                <pic:spPr bwMode="auto">
                  <a:xfrm>
                    <a:off x="0" y="0"/>
                    <a:ext cx="7810500" cy="390525"/>
                  </a:xfrm>
                  <a:prstGeom prst="rect">
                    <a:avLst/>
                  </a:prstGeom>
                  <a:noFill/>
                  <a:ln w="9525">
                    <a:noFill/>
                    <a:miter lim="800000"/>
                    <a:headEnd/>
                    <a:tailEnd/>
                  </a:ln>
                </pic:spPr>
              </pic:pic>
            </a:graphicData>
          </a:graphic>
        </wp:anchor>
      </w:drawing>
    </w:r>
    <w:r w:rsidR="00D12DB6" w:rsidRPr="00642700">
      <w:rPr>
        <w:rFonts w:asciiTheme="minorHAnsi" w:hAnsiTheme="minorHAnsi"/>
        <w:b/>
        <w:color w:val="1B4C80"/>
        <w:sz w:val="18"/>
        <w:szCs w:val="18"/>
      </w:rPr>
      <w:t>Project 200</w:t>
    </w:r>
    <w:r w:rsidR="00D12DB6">
      <w:rPr>
        <w:rFonts w:asciiTheme="minorHAnsi" w:hAnsiTheme="minorHAnsi"/>
        <w:b/>
        <w:color w:val="1B4C80"/>
        <w:sz w:val="18"/>
        <w:szCs w:val="18"/>
      </w:rPr>
      <w:t>9-01 – Disturbance and Sabotage Reporting</w:t>
    </w:r>
    <w:r w:rsidR="00D12DB6" w:rsidRPr="00642700">
      <w:rPr>
        <w:rFonts w:asciiTheme="minorHAnsi" w:hAnsiTheme="minorHAnsi"/>
        <w:b/>
        <w:color w:val="1B4C80"/>
        <w:sz w:val="18"/>
        <w:szCs w:val="18"/>
      </w:rPr>
      <w:br/>
    </w:r>
    <w:r w:rsidR="00D12DB6">
      <w:rPr>
        <w:rFonts w:asciiTheme="minorHAnsi" w:hAnsiTheme="minorHAnsi"/>
        <w:b/>
        <w:color w:val="1B4C80"/>
        <w:sz w:val="18"/>
        <w:szCs w:val="18"/>
      </w:rPr>
      <w:t>Comment Form – April 24, 2012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DB6" w:rsidRDefault="00D12DB6">
    <w:pPr>
      <w:pStyle w:val="Footer"/>
    </w:pPr>
    <w:r>
      <w:rPr>
        <w:noProof/>
      </w:rPr>
      <w:drawing>
        <wp:anchor distT="0" distB="0" distL="114300" distR="114300" simplePos="0" relativeHeight="251673088" behindDoc="1" locked="0" layoutInCell="1" allowOverlap="1">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0AEF" w:rsidRDefault="008E0AEF">
      <w:r>
        <w:separator/>
      </w:r>
    </w:p>
  </w:footnote>
  <w:footnote w:type="continuationSeparator" w:id="0">
    <w:p w:rsidR="008E0AEF" w:rsidRDefault="008E0A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DB6" w:rsidRDefault="00D12DB6">
    <w:r>
      <w:rPr>
        <w:noProof/>
      </w:rPr>
      <w:drawing>
        <wp:anchor distT="0" distB="0" distL="114300" distR="114300" simplePos="0" relativeHeight="251663870" behindDoc="1" locked="0" layoutInCell="1" allowOverlap="1">
          <wp:simplePos x="0" y="0"/>
          <wp:positionH relativeFrom="page">
            <wp:align>left</wp:align>
          </wp:positionH>
          <wp:positionV relativeFrom="page">
            <wp:align>top</wp:align>
          </wp:positionV>
          <wp:extent cx="7772400" cy="999490"/>
          <wp:effectExtent l="19050" t="0" r="0" b="0"/>
          <wp:wrapNone/>
          <wp:docPr id="43"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DB6" w:rsidRDefault="00D12DB6">
    <w:r>
      <w:rPr>
        <w:noProof/>
      </w:rPr>
      <w:drawing>
        <wp:anchor distT="0" distB="0" distL="114300" distR="114300" simplePos="0" relativeHeight="251660288" behindDoc="1" locked="0" layoutInCell="1" allowOverlap="1">
          <wp:simplePos x="0" y="0"/>
          <wp:positionH relativeFrom="page">
            <wp:posOffset>228600</wp:posOffset>
          </wp:positionH>
          <wp:positionV relativeFrom="page">
            <wp:posOffset>228600</wp:posOffset>
          </wp:positionV>
          <wp:extent cx="7315200" cy="683985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tretch>
                    <a:fillRect/>
                  </a:stretch>
                </pic:blipFill>
                <pic:spPr>
                  <a:xfrm>
                    <a:off x="0" y="0"/>
                    <a:ext cx="7315200" cy="6839857"/>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FAC59F2"/>
    <w:lvl w:ilvl="0">
      <w:start w:val="1"/>
      <w:numFmt w:val="decimal"/>
      <w:lvlText w:val="%1."/>
      <w:lvlJc w:val="left"/>
      <w:pPr>
        <w:tabs>
          <w:tab w:val="num" w:pos="1800"/>
        </w:tabs>
        <w:ind w:left="1800" w:hanging="360"/>
      </w:pPr>
    </w:lvl>
  </w:abstractNum>
  <w:abstractNum w:abstractNumId="1">
    <w:nsid w:val="FFFFFF7D"/>
    <w:multiLevelType w:val="singleLevel"/>
    <w:tmpl w:val="4790ABE4"/>
    <w:lvl w:ilvl="0">
      <w:start w:val="1"/>
      <w:numFmt w:val="decimal"/>
      <w:lvlText w:val="%1."/>
      <w:lvlJc w:val="left"/>
      <w:pPr>
        <w:tabs>
          <w:tab w:val="num" w:pos="1440"/>
        </w:tabs>
        <w:ind w:left="1440" w:hanging="360"/>
      </w:pPr>
    </w:lvl>
  </w:abstractNum>
  <w:abstractNum w:abstractNumId="2">
    <w:nsid w:val="FFFFFF7E"/>
    <w:multiLevelType w:val="singleLevel"/>
    <w:tmpl w:val="FD427174"/>
    <w:lvl w:ilvl="0">
      <w:start w:val="1"/>
      <w:numFmt w:val="decimal"/>
      <w:lvlText w:val="%1."/>
      <w:lvlJc w:val="left"/>
      <w:pPr>
        <w:tabs>
          <w:tab w:val="num" w:pos="1080"/>
        </w:tabs>
        <w:ind w:left="1080" w:hanging="360"/>
      </w:pPr>
    </w:lvl>
  </w:abstractNum>
  <w:abstractNum w:abstractNumId="3">
    <w:nsid w:val="FFFFFF7F"/>
    <w:multiLevelType w:val="singleLevel"/>
    <w:tmpl w:val="91F4B930"/>
    <w:lvl w:ilvl="0">
      <w:start w:val="1"/>
      <w:numFmt w:val="decimal"/>
      <w:lvlText w:val="%1."/>
      <w:lvlJc w:val="left"/>
      <w:pPr>
        <w:tabs>
          <w:tab w:val="num" w:pos="720"/>
        </w:tabs>
        <w:ind w:left="720" w:hanging="360"/>
      </w:pPr>
    </w:lvl>
  </w:abstractNum>
  <w:abstractNum w:abstractNumId="4">
    <w:nsid w:val="FFFFFF80"/>
    <w:multiLevelType w:val="singleLevel"/>
    <w:tmpl w:val="6A72F8F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DA421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43A8E9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C02E1E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AC8FC24"/>
    <w:lvl w:ilvl="0">
      <w:start w:val="1"/>
      <w:numFmt w:val="decimal"/>
      <w:lvlText w:val="%1."/>
      <w:lvlJc w:val="left"/>
      <w:pPr>
        <w:tabs>
          <w:tab w:val="num" w:pos="360"/>
        </w:tabs>
        <w:ind w:left="360" w:hanging="360"/>
      </w:pPr>
    </w:lvl>
  </w:abstractNum>
  <w:abstractNum w:abstractNumId="9">
    <w:nsid w:val="FFFFFF89"/>
    <w:multiLevelType w:val="singleLevel"/>
    <w:tmpl w:val="98F43CF6"/>
    <w:lvl w:ilvl="0">
      <w:start w:val="1"/>
      <w:numFmt w:val="bullet"/>
      <w:lvlText w:val=""/>
      <w:lvlJc w:val="left"/>
      <w:pPr>
        <w:tabs>
          <w:tab w:val="num" w:pos="360"/>
        </w:tabs>
        <w:ind w:left="360" w:hanging="360"/>
      </w:pPr>
      <w:rPr>
        <w:rFonts w:ascii="Symbol" w:hAnsi="Symbol" w:hint="default"/>
      </w:rPr>
    </w:lvl>
  </w:abstractNum>
  <w:abstractNum w:abstractNumId="10">
    <w:nsid w:val="0A4F36E0"/>
    <w:multiLevelType w:val="singleLevel"/>
    <w:tmpl w:val="42366744"/>
    <w:lvl w:ilvl="0">
      <w:start w:val="1"/>
      <w:numFmt w:val="bullet"/>
      <w:pStyle w:val="ListBullet"/>
      <w:lvlText w:val=""/>
      <w:lvlJc w:val="left"/>
      <w:pPr>
        <w:tabs>
          <w:tab w:val="num" w:pos="720"/>
        </w:tabs>
        <w:ind w:left="720" w:hanging="360"/>
      </w:pPr>
      <w:rPr>
        <w:rFonts w:ascii="Symbol" w:hAnsi="Symbol" w:hint="default"/>
      </w:rPr>
    </w:lvl>
  </w:abstractNum>
  <w:abstractNum w:abstractNumId="11">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220C5945"/>
    <w:multiLevelType w:val="hybridMultilevel"/>
    <w:tmpl w:val="D49A9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A03D4A"/>
    <w:multiLevelType w:val="singleLevel"/>
    <w:tmpl w:val="E36EB64A"/>
    <w:lvl w:ilvl="0">
      <w:start w:val="1"/>
      <w:numFmt w:val="bullet"/>
      <w:pStyle w:val="Bullet"/>
      <w:lvlText w:val=""/>
      <w:lvlJc w:val="left"/>
      <w:pPr>
        <w:tabs>
          <w:tab w:val="num" w:pos="360"/>
        </w:tabs>
        <w:ind w:left="360" w:hanging="360"/>
      </w:pPr>
      <w:rPr>
        <w:rFonts w:ascii="Symbol" w:hAnsi="Symbol" w:hint="default"/>
      </w:rPr>
    </w:lvl>
  </w:abstractNum>
  <w:abstractNum w:abstractNumId="14">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A546EA0"/>
    <w:multiLevelType w:val="multilevel"/>
    <w:tmpl w:val="240EBA5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440"/>
        </w:tabs>
        <w:ind w:left="1224" w:hanging="504"/>
      </w:pPr>
      <w:rPr>
        <w:rFonts w:ascii="Symbol" w:hAnsi="Symbol" w:hint="default"/>
      </w:rPr>
    </w:lvl>
    <w:lvl w:ilvl="3">
      <w:start w:val="1"/>
      <w:numFmt w:val="bullet"/>
      <w:lvlText w:val=""/>
      <w:lvlJc w:val="left"/>
      <w:pPr>
        <w:tabs>
          <w:tab w:val="num" w:pos="2160"/>
        </w:tabs>
        <w:ind w:left="1728" w:hanging="648"/>
      </w:pPr>
      <w:rPr>
        <w:rFonts w:ascii="Symbol" w:hAnsi="Symbol" w:hint="default"/>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nsid w:val="4AEF7369"/>
    <w:multiLevelType w:val="hybridMultilevel"/>
    <w:tmpl w:val="F9E2D810"/>
    <w:lvl w:ilvl="0" w:tplc="10090001">
      <w:start w:val="1"/>
      <w:numFmt w:val="bullet"/>
      <w:lvlText w:val=""/>
      <w:lvlJc w:val="left"/>
      <w:pPr>
        <w:ind w:left="675" w:hanging="360"/>
      </w:pPr>
      <w:rPr>
        <w:rFonts w:ascii="Symbol" w:hAnsi="Symbol" w:hint="default"/>
      </w:rPr>
    </w:lvl>
    <w:lvl w:ilvl="1" w:tplc="10090003" w:tentative="1">
      <w:start w:val="1"/>
      <w:numFmt w:val="bullet"/>
      <w:lvlText w:val="o"/>
      <w:lvlJc w:val="left"/>
      <w:pPr>
        <w:ind w:left="1395" w:hanging="360"/>
      </w:pPr>
      <w:rPr>
        <w:rFonts w:ascii="Courier New" w:hAnsi="Courier New" w:cs="Courier New" w:hint="default"/>
      </w:rPr>
    </w:lvl>
    <w:lvl w:ilvl="2" w:tplc="10090005" w:tentative="1">
      <w:start w:val="1"/>
      <w:numFmt w:val="bullet"/>
      <w:lvlText w:val=""/>
      <w:lvlJc w:val="left"/>
      <w:pPr>
        <w:ind w:left="2115" w:hanging="360"/>
      </w:pPr>
      <w:rPr>
        <w:rFonts w:ascii="Wingdings" w:hAnsi="Wingdings" w:hint="default"/>
      </w:rPr>
    </w:lvl>
    <w:lvl w:ilvl="3" w:tplc="10090001" w:tentative="1">
      <w:start w:val="1"/>
      <w:numFmt w:val="bullet"/>
      <w:lvlText w:val=""/>
      <w:lvlJc w:val="left"/>
      <w:pPr>
        <w:ind w:left="2835" w:hanging="360"/>
      </w:pPr>
      <w:rPr>
        <w:rFonts w:ascii="Symbol" w:hAnsi="Symbol" w:hint="default"/>
      </w:rPr>
    </w:lvl>
    <w:lvl w:ilvl="4" w:tplc="10090003" w:tentative="1">
      <w:start w:val="1"/>
      <w:numFmt w:val="bullet"/>
      <w:lvlText w:val="o"/>
      <w:lvlJc w:val="left"/>
      <w:pPr>
        <w:ind w:left="3555" w:hanging="360"/>
      </w:pPr>
      <w:rPr>
        <w:rFonts w:ascii="Courier New" w:hAnsi="Courier New" w:cs="Courier New" w:hint="default"/>
      </w:rPr>
    </w:lvl>
    <w:lvl w:ilvl="5" w:tplc="10090005" w:tentative="1">
      <w:start w:val="1"/>
      <w:numFmt w:val="bullet"/>
      <w:lvlText w:val=""/>
      <w:lvlJc w:val="left"/>
      <w:pPr>
        <w:ind w:left="4275" w:hanging="360"/>
      </w:pPr>
      <w:rPr>
        <w:rFonts w:ascii="Wingdings" w:hAnsi="Wingdings" w:hint="default"/>
      </w:rPr>
    </w:lvl>
    <w:lvl w:ilvl="6" w:tplc="10090001" w:tentative="1">
      <w:start w:val="1"/>
      <w:numFmt w:val="bullet"/>
      <w:lvlText w:val=""/>
      <w:lvlJc w:val="left"/>
      <w:pPr>
        <w:ind w:left="4995" w:hanging="360"/>
      </w:pPr>
      <w:rPr>
        <w:rFonts w:ascii="Symbol" w:hAnsi="Symbol" w:hint="default"/>
      </w:rPr>
    </w:lvl>
    <w:lvl w:ilvl="7" w:tplc="10090003" w:tentative="1">
      <w:start w:val="1"/>
      <w:numFmt w:val="bullet"/>
      <w:lvlText w:val="o"/>
      <w:lvlJc w:val="left"/>
      <w:pPr>
        <w:ind w:left="5715" w:hanging="360"/>
      </w:pPr>
      <w:rPr>
        <w:rFonts w:ascii="Courier New" w:hAnsi="Courier New" w:cs="Courier New" w:hint="default"/>
      </w:rPr>
    </w:lvl>
    <w:lvl w:ilvl="8" w:tplc="10090005" w:tentative="1">
      <w:start w:val="1"/>
      <w:numFmt w:val="bullet"/>
      <w:lvlText w:val=""/>
      <w:lvlJc w:val="left"/>
      <w:pPr>
        <w:ind w:left="6435" w:hanging="360"/>
      </w:pPr>
      <w:rPr>
        <w:rFonts w:ascii="Wingdings" w:hAnsi="Wingdings" w:hint="default"/>
      </w:rPr>
    </w:lvl>
  </w:abstractNum>
  <w:abstractNum w:abstractNumId="18">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BCF3726"/>
    <w:multiLevelType w:val="hybridMultilevel"/>
    <w:tmpl w:val="DC181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22">
    <w:nsid w:val="783F4B0A"/>
    <w:multiLevelType w:val="singleLevel"/>
    <w:tmpl w:val="0409000F"/>
    <w:lvl w:ilvl="0">
      <w:start w:val="1"/>
      <w:numFmt w:val="decimal"/>
      <w:lvlText w:val="%1."/>
      <w:lvlJc w:val="left"/>
      <w:pPr>
        <w:tabs>
          <w:tab w:val="num" w:pos="720"/>
        </w:tabs>
        <w:ind w:left="720" w:hanging="360"/>
      </w:pPr>
    </w:lvl>
  </w:abstractNum>
  <w:num w:numId="1">
    <w:abstractNumId w:val="18"/>
  </w:num>
  <w:num w:numId="2">
    <w:abstractNumId w:val="11"/>
  </w:num>
  <w:num w:numId="3">
    <w:abstractNumId w:val="20"/>
  </w:num>
  <w:num w:numId="4">
    <w:abstractNumId w:val="14"/>
  </w:num>
  <w:num w:numId="5">
    <w:abstractNumId w:val="2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0"/>
  </w:num>
  <w:num w:numId="18">
    <w:abstractNumId w:val="13"/>
  </w:num>
  <w:num w:numId="19">
    <w:abstractNumId w:val="22"/>
  </w:num>
  <w:num w:numId="20">
    <w:abstractNumId w:val="16"/>
  </w:num>
  <w:num w:numId="21">
    <w:abstractNumId w:val="17"/>
  </w:num>
  <w:num w:numId="22">
    <w:abstractNumId w:val="12"/>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1574EA"/>
    <w:rsid w:val="00000AD3"/>
    <w:rsid w:val="00011D42"/>
    <w:rsid w:val="000334DF"/>
    <w:rsid w:val="000A70BC"/>
    <w:rsid w:val="000B36CB"/>
    <w:rsid w:val="000D7162"/>
    <w:rsid w:val="000E3AB0"/>
    <w:rsid w:val="0012549C"/>
    <w:rsid w:val="00136931"/>
    <w:rsid w:val="001574EA"/>
    <w:rsid w:val="00163236"/>
    <w:rsid w:val="00174EE1"/>
    <w:rsid w:val="0018116F"/>
    <w:rsid w:val="001930E8"/>
    <w:rsid w:val="001A7BAC"/>
    <w:rsid w:val="001B7471"/>
    <w:rsid w:val="001E260F"/>
    <w:rsid w:val="00216CD7"/>
    <w:rsid w:val="00230A96"/>
    <w:rsid w:val="00232578"/>
    <w:rsid w:val="00270D94"/>
    <w:rsid w:val="00281A11"/>
    <w:rsid w:val="00283FB4"/>
    <w:rsid w:val="00345640"/>
    <w:rsid w:val="00346697"/>
    <w:rsid w:val="003656E1"/>
    <w:rsid w:val="00366A96"/>
    <w:rsid w:val="0037098F"/>
    <w:rsid w:val="0039275D"/>
    <w:rsid w:val="003A4513"/>
    <w:rsid w:val="003E1C41"/>
    <w:rsid w:val="00402B8E"/>
    <w:rsid w:val="0040680C"/>
    <w:rsid w:val="00414CAB"/>
    <w:rsid w:val="00456F27"/>
    <w:rsid w:val="004631BF"/>
    <w:rsid w:val="004800C7"/>
    <w:rsid w:val="0048146A"/>
    <w:rsid w:val="004B4753"/>
    <w:rsid w:val="004B62BE"/>
    <w:rsid w:val="004B7DE3"/>
    <w:rsid w:val="004E7B5C"/>
    <w:rsid w:val="00510652"/>
    <w:rsid w:val="005316C6"/>
    <w:rsid w:val="005316F3"/>
    <w:rsid w:val="00532981"/>
    <w:rsid w:val="0056292C"/>
    <w:rsid w:val="00565DCE"/>
    <w:rsid w:val="00573832"/>
    <w:rsid w:val="005A721A"/>
    <w:rsid w:val="005C503B"/>
    <w:rsid w:val="0061133D"/>
    <w:rsid w:val="00642700"/>
    <w:rsid w:val="00652754"/>
    <w:rsid w:val="006845AE"/>
    <w:rsid w:val="00694CD1"/>
    <w:rsid w:val="00695EE8"/>
    <w:rsid w:val="00697169"/>
    <w:rsid w:val="006A000C"/>
    <w:rsid w:val="006B3EC7"/>
    <w:rsid w:val="006B64C9"/>
    <w:rsid w:val="006C051A"/>
    <w:rsid w:val="006C1F78"/>
    <w:rsid w:val="006F5694"/>
    <w:rsid w:val="006F637F"/>
    <w:rsid w:val="0074626C"/>
    <w:rsid w:val="00763862"/>
    <w:rsid w:val="00791651"/>
    <w:rsid w:val="007E16E8"/>
    <w:rsid w:val="007E1761"/>
    <w:rsid w:val="00802087"/>
    <w:rsid w:val="00804215"/>
    <w:rsid w:val="0083295F"/>
    <w:rsid w:val="0087623C"/>
    <w:rsid w:val="008C72B9"/>
    <w:rsid w:val="008D5AE5"/>
    <w:rsid w:val="008E0AEF"/>
    <w:rsid w:val="008E444A"/>
    <w:rsid w:val="00916FF8"/>
    <w:rsid w:val="00947740"/>
    <w:rsid w:val="00964423"/>
    <w:rsid w:val="009946D9"/>
    <w:rsid w:val="009A537E"/>
    <w:rsid w:val="009A5402"/>
    <w:rsid w:val="009A62D6"/>
    <w:rsid w:val="00A20FF0"/>
    <w:rsid w:val="00A26FA8"/>
    <w:rsid w:val="00A31A9D"/>
    <w:rsid w:val="00A35DA7"/>
    <w:rsid w:val="00AA2FC8"/>
    <w:rsid w:val="00AB767D"/>
    <w:rsid w:val="00AD6F8B"/>
    <w:rsid w:val="00AE53DB"/>
    <w:rsid w:val="00B22406"/>
    <w:rsid w:val="00B375B5"/>
    <w:rsid w:val="00B653C7"/>
    <w:rsid w:val="00B804E3"/>
    <w:rsid w:val="00B90A95"/>
    <w:rsid w:val="00BA34E0"/>
    <w:rsid w:val="00BB20E1"/>
    <w:rsid w:val="00BE046F"/>
    <w:rsid w:val="00BE5580"/>
    <w:rsid w:val="00C0251D"/>
    <w:rsid w:val="00C2216A"/>
    <w:rsid w:val="00C84227"/>
    <w:rsid w:val="00C928AA"/>
    <w:rsid w:val="00C934B3"/>
    <w:rsid w:val="00CC7BE7"/>
    <w:rsid w:val="00D12DB6"/>
    <w:rsid w:val="00D1468F"/>
    <w:rsid w:val="00D228D6"/>
    <w:rsid w:val="00D63549"/>
    <w:rsid w:val="00D709D0"/>
    <w:rsid w:val="00D7580F"/>
    <w:rsid w:val="00D953A5"/>
    <w:rsid w:val="00DA634C"/>
    <w:rsid w:val="00DA7149"/>
    <w:rsid w:val="00DB2982"/>
    <w:rsid w:val="00DB62EC"/>
    <w:rsid w:val="00E000D9"/>
    <w:rsid w:val="00E12B91"/>
    <w:rsid w:val="00E23143"/>
    <w:rsid w:val="00E34036"/>
    <w:rsid w:val="00E40534"/>
    <w:rsid w:val="00E418A6"/>
    <w:rsid w:val="00ED0CEF"/>
    <w:rsid w:val="00EF2574"/>
    <w:rsid w:val="00EF4250"/>
    <w:rsid w:val="00F10560"/>
    <w:rsid w:val="00F157A7"/>
    <w:rsid w:val="00F16370"/>
    <w:rsid w:val="00F75EC7"/>
    <w:rsid w:val="00F97C83"/>
    <w:rsid w:val="00FB28CF"/>
    <w:rsid w:val="00FC1B1C"/>
    <w:rsid w:val="00FC7B36"/>
    <w:rsid w:val="00FF626B"/>
    <w:rsid w:val="00FF6BE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EC7"/>
    <w:rPr>
      <w:sz w:val="24"/>
      <w:szCs w:val="24"/>
    </w:rPr>
  </w:style>
  <w:style w:type="paragraph" w:styleId="Heading1">
    <w:name w:val="heading 1"/>
    <w:basedOn w:val="Normal"/>
    <w:next w:val="Normal"/>
    <w:link w:val="Heading1Char"/>
    <w:uiPriority w:val="9"/>
    <w:qFormat/>
    <w:rsid w:val="007916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16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 Char"/>
    <w:basedOn w:val="Normal"/>
    <w:next w:val="Normal"/>
    <w:link w:val="Heading3Char"/>
    <w:qFormat/>
    <w:rsid w:val="00744307"/>
    <w:pPr>
      <w:keepNext/>
      <w:spacing w:before="240" w:after="120"/>
      <w:outlineLvl w:val="2"/>
    </w:pPr>
    <w:rPr>
      <w:rFonts w:ascii="Arial" w:hAnsi="Arial"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5316C6"/>
    <w:pPr>
      <w:spacing w:before="480" w:after="60"/>
    </w:pPr>
    <w:rPr>
      <w:rFonts w:ascii="Tahoma" w:hAnsi="Tahoma"/>
      <w:b/>
      <w:bCs/>
      <w:sz w:val="28"/>
      <w:szCs w:val="20"/>
    </w:rPr>
  </w:style>
  <w:style w:type="paragraph" w:customStyle="1" w:styleId="Sub-Heading">
    <w:name w:val="Sub-Heading"/>
    <w:basedOn w:val="Normal"/>
    <w:rsid w:val="005316C6"/>
    <w:pPr>
      <w:spacing w:before="360" w:after="60"/>
    </w:pPr>
    <w:rPr>
      <w:rFonts w:ascii="Tahoma" w:hAnsi="Tahoma"/>
      <w:b/>
      <w:i/>
      <w:szCs w:val="20"/>
    </w:rPr>
  </w:style>
  <w:style w:type="character" w:customStyle="1" w:styleId="BodyCopy">
    <w:name w:val="Body Copy"/>
    <w:basedOn w:val="DefaultParagraphFont"/>
    <w:rsid w:val="00136931"/>
    <w:rPr>
      <w:rFonts w:asciiTheme="minorHAnsi" w:hAnsiTheme="minorHAnsi"/>
    </w:rPr>
  </w:style>
  <w:style w:type="paragraph" w:customStyle="1" w:styleId="DocumentTitle">
    <w:name w:val="Document Title"/>
    <w:basedOn w:val="Normal"/>
    <w:rsid w:val="005316C6"/>
    <w:pPr>
      <w:spacing w:before="120"/>
    </w:pPr>
    <w:rPr>
      <w:rFonts w:ascii="Tahoma" w:hAnsi="Tahoma"/>
      <w:b/>
      <w:bCs/>
      <w:color w:val="143970"/>
      <w:sz w:val="48"/>
      <w:szCs w:val="20"/>
    </w:rPr>
  </w:style>
  <w:style w:type="paragraph" w:customStyle="1" w:styleId="Default">
    <w:name w:val="Default"/>
    <w:rsid w:val="00361F62"/>
    <w:pPr>
      <w:autoSpaceDE w:val="0"/>
      <w:autoSpaceDN w:val="0"/>
      <w:adjustRightInd w:val="0"/>
    </w:pPr>
    <w:rPr>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aliases w:val=" Char Char"/>
    <w:basedOn w:val="DefaultParagraphFont"/>
    <w:link w:val="Heading3"/>
    <w:rsid w:val="00744307"/>
    <w:rPr>
      <w:rFonts w:ascii="Arial" w:hAnsi="Arial" w:cs="Arial"/>
      <w:b/>
      <w:bCs/>
      <w:i/>
      <w:sz w:val="22"/>
      <w:szCs w:val="26"/>
      <w:lang w:val="en-US" w:eastAsia="en-US" w:bidi="ar-SA"/>
    </w:rPr>
  </w:style>
  <w:style w:type="table" w:styleId="TableGrid">
    <w:name w:val="Table Grid"/>
    <w:basedOn w:val="TableNormal"/>
    <w:rsid w:val="005A3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79165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1651"/>
    <w:rPr>
      <w:rFonts w:asciiTheme="majorHAnsi" w:eastAsiaTheme="majorEastAsia" w:hAnsiTheme="majorHAnsi" w:cstheme="majorBidi"/>
      <w:b/>
      <w:bCs/>
      <w:color w:val="4F81BD" w:themeColor="accent1"/>
      <w:sz w:val="26"/>
      <w:szCs w:val="26"/>
    </w:rPr>
  </w:style>
  <w:style w:type="paragraph" w:customStyle="1" w:styleId="DocumentSubtitle">
    <w:name w:val="Document Subtitle"/>
    <w:basedOn w:val="Normal"/>
    <w:rsid w:val="005316C6"/>
    <w:pPr>
      <w:spacing w:after="360"/>
    </w:pPr>
    <w:rPr>
      <w:rFonts w:ascii="Tahoma" w:hAnsi="Tahoma"/>
      <w:color w:val="143970"/>
      <w:sz w:val="36"/>
      <w:szCs w:val="20"/>
    </w:rPr>
  </w:style>
  <w:style w:type="paragraph" w:styleId="Header">
    <w:name w:val="header"/>
    <w:basedOn w:val="Normal"/>
    <w:link w:val="HeaderChar"/>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510652"/>
    <w:pPr>
      <w:tabs>
        <w:tab w:val="center" w:pos="4680"/>
        <w:tab w:val="right" w:pos="9360"/>
      </w:tabs>
    </w:pPr>
  </w:style>
  <w:style w:type="character" w:customStyle="1" w:styleId="FooterChar">
    <w:name w:val="Footer Char"/>
    <w:basedOn w:val="DefaultParagraphFont"/>
    <w:link w:val="Footer"/>
    <w:uiPriority w:val="99"/>
    <w:rsid w:val="00510652"/>
    <w:rPr>
      <w:sz w:val="24"/>
      <w:szCs w:val="24"/>
    </w:rPr>
  </w:style>
  <w:style w:type="character" w:styleId="PageNumber">
    <w:name w:val="page number"/>
    <w:basedOn w:val="DefaultParagraphFont"/>
    <w:rsid w:val="00510652"/>
  </w:style>
  <w:style w:type="paragraph" w:styleId="ListParagraph">
    <w:name w:val="List Paragraph"/>
    <w:basedOn w:val="Normal"/>
    <w:uiPriority w:val="34"/>
    <w:qFormat/>
    <w:rsid w:val="00230A96"/>
    <w:pPr>
      <w:ind w:left="720"/>
      <w:contextualSpacing/>
    </w:pPr>
  </w:style>
  <w:style w:type="character" w:customStyle="1" w:styleId="BoxText">
    <w:name w:val="Box Text"/>
    <w:basedOn w:val="DefaultParagraphFont"/>
    <w:rsid w:val="00642700"/>
    <w:rPr>
      <w:rFonts w:ascii="Arial" w:hAnsi="Arial"/>
      <w:sz w:val="20"/>
    </w:rPr>
  </w:style>
  <w:style w:type="paragraph" w:customStyle="1" w:styleId="NormalTimes">
    <w:name w:val="Normal Times"/>
    <w:basedOn w:val="Normal"/>
    <w:rsid w:val="00642700"/>
    <w:pPr>
      <w:spacing w:after="240"/>
    </w:pPr>
    <w:rPr>
      <w:sz w:val="22"/>
    </w:rPr>
  </w:style>
  <w:style w:type="paragraph" w:styleId="FootnoteText">
    <w:name w:val="footnote text"/>
    <w:basedOn w:val="Normal"/>
    <w:link w:val="FootnoteTextChar"/>
    <w:semiHidden/>
    <w:rsid w:val="00642700"/>
    <w:pPr>
      <w:spacing w:after="240"/>
    </w:pPr>
    <w:rPr>
      <w:sz w:val="20"/>
      <w:szCs w:val="20"/>
    </w:rPr>
  </w:style>
  <w:style w:type="character" w:customStyle="1" w:styleId="FootnoteTextChar">
    <w:name w:val="Footnote Text Char"/>
    <w:basedOn w:val="DefaultParagraphFont"/>
    <w:link w:val="FootnoteText"/>
    <w:semiHidden/>
    <w:rsid w:val="00642700"/>
  </w:style>
  <w:style w:type="paragraph" w:styleId="ListBullet">
    <w:name w:val="List Bullet"/>
    <w:basedOn w:val="Normal"/>
    <w:rsid w:val="00642700"/>
    <w:pPr>
      <w:numPr>
        <w:numId w:val="17"/>
      </w:numPr>
    </w:pPr>
    <w:rPr>
      <w:sz w:val="22"/>
      <w:szCs w:val="20"/>
    </w:rPr>
  </w:style>
  <w:style w:type="paragraph" w:customStyle="1" w:styleId="Bullet">
    <w:name w:val="Bullet"/>
    <w:basedOn w:val="Normal"/>
    <w:rsid w:val="00642700"/>
    <w:pPr>
      <w:numPr>
        <w:numId w:val="18"/>
      </w:numPr>
      <w:spacing w:before="120"/>
      <w:ind w:left="1080"/>
    </w:pPr>
    <w:rPr>
      <w:sz w:val="22"/>
      <w:szCs w:val="20"/>
    </w:rPr>
  </w:style>
  <w:style w:type="character" w:styleId="Hyperlink">
    <w:name w:val="Hyperlink"/>
    <w:basedOn w:val="DefaultParagraphFont"/>
    <w:uiPriority w:val="99"/>
    <w:unhideWhenUsed/>
    <w:rsid w:val="00DB2982"/>
    <w:rPr>
      <w:color w:val="0000FF" w:themeColor="hyperlink"/>
      <w:u w:val="single"/>
    </w:rPr>
  </w:style>
  <w:style w:type="character" w:styleId="FollowedHyperlink">
    <w:name w:val="FollowedHyperlink"/>
    <w:basedOn w:val="DefaultParagraphFont"/>
    <w:uiPriority w:val="99"/>
    <w:semiHidden/>
    <w:unhideWhenUsed/>
    <w:rsid w:val="00BB20E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EC7"/>
    <w:rPr>
      <w:sz w:val="24"/>
      <w:szCs w:val="24"/>
    </w:rPr>
  </w:style>
  <w:style w:type="paragraph" w:styleId="Heading1">
    <w:name w:val="heading 1"/>
    <w:basedOn w:val="Normal"/>
    <w:next w:val="Normal"/>
    <w:link w:val="Heading1Char"/>
    <w:uiPriority w:val="9"/>
    <w:qFormat/>
    <w:rsid w:val="007916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16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 Char"/>
    <w:basedOn w:val="Normal"/>
    <w:next w:val="Normal"/>
    <w:link w:val="Heading3Char"/>
    <w:qFormat/>
    <w:rsid w:val="00744307"/>
    <w:pPr>
      <w:keepNext/>
      <w:spacing w:before="240" w:after="120"/>
      <w:outlineLvl w:val="2"/>
    </w:pPr>
    <w:rPr>
      <w:rFonts w:ascii="Arial" w:hAnsi="Arial"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5316C6"/>
    <w:pPr>
      <w:spacing w:before="480" w:after="60"/>
    </w:pPr>
    <w:rPr>
      <w:rFonts w:ascii="Tahoma" w:hAnsi="Tahoma"/>
      <w:b/>
      <w:bCs/>
      <w:sz w:val="28"/>
      <w:szCs w:val="20"/>
    </w:rPr>
  </w:style>
  <w:style w:type="paragraph" w:customStyle="1" w:styleId="Sub-Heading">
    <w:name w:val="Sub-Heading"/>
    <w:basedOn w:val="Normal"/>
    <w:rsid w:val="005316C6"/>
    <w:pPr>
      <w:spacing w:before="360" w:after="60"/>
    </w:pPr>
    <w:rPr>
      <w:rFonts w:ascii="Tahoma" w:hAnsi="Tahoma"/>
      <w:b/>
      <w:i/>
      <w:szCs w:val="20"/>
    </w:rPr>
  </w:style>
  <w:style w:type="character" w:customStyle="1" w:styleId="BodyCopy">
    <w:name w:val="Body Copy"/>
    <w:basedOn w:val="DefaultParagraphFont"/>
    <w:rsid w:val="00136931"/>
    <w:rPr>
      <w:rFonts w:asciiTheme="minorHAnsi" w:hAnsiTheme="minorHAnsi"/>
    </w:rPr>
  </w:style>
  <w:style w:type="paragraph" w:customStyle="1" w:styleId="DocumentTitle">
    <w:name w:val="Document Title"/>
    <w:basedOn w:val="Normal"/>
    <w:rsid w:val="005316C6"/>
    <w:pPr>
      <w:spacing w:before="120"/>
    </w:pPr>
    <w:rPr>
      <w:rFonts w:ascii="Tahoma" w:hAnsi="Tahoma"/>
      <w:b/>
      <w:bCs/>
      <w:color w:val="143970"/>
      <w:sz w:val="48"/>
      <w:szCs w:val="20"/>
    </w:rPr>
  </w:style>
  <w:style w:type="paragraph" w:customStyle="1" w:styleId="Default">
    <w:name w:val="Default"/>
    <w:rsid w:val="00361F62"/>
    <w:pPr>
      <w:autoSpaceDE w:val="0"/>
      <w:autoSpaceDN w:val="0"/>
      <w:adjustRightInd w:val="0"/>
    </w:pPr>
    <w:rPr>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aliases w:val=" Char Char"/>
    <w:basedOn w:val="DefaultParagraphFont"/>
    <w:link w:val="Heading3"/>
    <w:rsid w:val="00744307"/>
    <w:rPr>
      <w:rFonts w:ascii="Arial" w:hAnsi="Arial" w:cs="Arial"/>
      <w:b/>
      <w:bCs/>
      <w:i/>
      <w:sz w:val="22"/>
      <w:szCs w:val="26"/>
      <w:lang w:val="en-US" w:eastAsia="en-US" w:bidi="ar-SA"/>
    </w:rPr>
  </w:style>
  <w:style w:type="table" w:styleId="TableGrid">
    <w:name w:val="Table Grid"/>
    <w:basedOn w:val="TableNormal"/>
    <w:rsid w:val="005A3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79165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1651"/>
    <w:rPr>
      <w:rFonts w:asciiTheme="majorHAnsi" w:eastAsiaTheme="majorEastAsia" w:hAnsiTheme="majorHAnsi" w:cstheme="majorBidi"/>
      <w:b/>
      <w:bCs/>
      <w:color w:val="4F81BD" w:themeColor="accent1"/>
      <w:sz w:val="26"/>
      <w:szCs w:val="26"/>
    </w:rPr>
  </w:style>
  <w:style w:type="paragraph" w:customStyle="1" w:styleId="DocumentSubtitle">
    <w:name w:val="Document Subtitle"/>
    <w:basedOn w:val="Normal"/>
    <w:rsid w:val="005316C6"/>
    <w:pPr>
      <w:spacing w:after="360"/>
    </w:pPr>
    <w:rPr>
      <w:rFonts w:ascii="Tahoma" w:hAnsi="Tahoma"/>
      <w:color w:val="143970"/>
      <w:sz w:val="36"/>
      <w:szCs w:val="20"/>
    </w:rPr>
  </w:style>
  <w:style w:type="paragraph" w:styleId="Header">
    <w:name w:val="header"/>
    <w:basedOn w:val="Normal"/>
    <w:link w:val="HeaderChar"/>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510652"/>
    <w:pPr>
      <w:tabs>
        <w:tab w:val="center" w:pos="4680"/>
        <w:tab w:val="right" w:pos="9360"/>
      </w:tabs>
    </w:pPr>
  </w:style>
  <w:style w:type="character" w:customStyle="1" w:styleId="FooterChar">
    <w:name w:val="Footer Char"/>
    <w:basedOn w:val="DefaultParagraphFont"/>
    <w:link w:val="Footer"/>
    <w:uiPriority w:val="99"/>
    <w:rsid w:val="00510652"/>
    <w:rPr>
      <w:sz w:val="24"/>
      <w:szCs w:val="24"/>
    </w:rPr>
  </w:style>
  <w:style w:type="character" w:styleId="PageNumber">
    <w:name w:val="page number"/>
    <w:basedOn w:val="DefaultParagraphFont"/>
    <w:rsid w:val="00510652"/>
  </w:style>
  <w:style w:type="paragraph" w:styleId="ListParagraph">
    <w:name w:val="List Paragraph"/>
    <w:basedOn w:val="Normal"/>
    <w:uiPriority w:val="34"/>
    <w:qFormat/>
    <w:rsid w:val="00230A96"/>
    <w:pPr>
      <w:ind w:left="720"/>
      <w:contextualSpacing/>
    </w:pPr>
  </w:style>
  <w:style w:type="character" w:customStyle="1" w:styleId="BoxText">
    <w:name w:val="Box Text"/>
    <w:basedOn w:val="DefaultParagraphFont"/>
    <w:rsid w:val="00642700"/>
    <w:rPr>
      <w:rFonts w:ascii="Arial" w:hAnsi="Arial"/>
      <w:sz w:val="20"/>
    </w:rPr>
  </w:style>
  <w:style w:type="paragraph" w:customStyle="1" w:styleId="NormalTimes">
    <w:name w:val="Normal Times"/>
    <w:basedOn w:val="Normal"/>
    <w:rsid w:val="00642700"/>
    <w:pPr>
      <w:spacing w:after="240"/>
    </w:pPr>
    <w:rPr>
      <w:sz w:val="22"/>
    </w:rPr>
  </w:style>
  <w:style w:type="paragraph" w:styleId="FootnoteText">
    <w:name w:val="footnote text"/>
    <w:basedOn w:val="Normal"/>
    <w:link w:val="FootnoteTextChar"/>
    <w:semiHidden/>
    <w:rsid w:val="00642700"/>
    <w:pPr>
      <w:spacing w:after="240"/>
    </w:pPr>
    <w:rPr>
      <w:sz w:val="20"/>
      <w:szCs w:val="20"/>
    </w:rPr>
  </w:style>
  <w:style w:type="character" w:customStyle="1" w:styleId="FootnoteTextChar">
    <w:name w:val="Footnote Text Char"/>
    <w:basedOn w:val="DefaultParagraphFont"/>
    <w:link w:val="FootnoteText"/>
    <w:semiHidden/>
    <w:rsid w:val="00642700"/>
  </w:style>
  <w:style w:type="paragraph" w:styleId="ListBullet">
    <w:name w:val="List Bullet"/>
    <w:basedOn w:val="Normal"/>
    <w:rsid w:val="00642700"/>
    <w:pPr>
      <w:numPr>
        <w:numId w:val="17"/>
      </w:numPr>
    </w:pPr>
    <w:rPr>
      <w:sz w:val="22"/>
      <w:szCs w:val="20"/>
    </w:rPr>
  </w:style>
  <w:style w:type="paragraph" w:customStyle="1" w:styleId="Bullet">
    <w:name w:val="Bullet"/>
    <w:basedOn w:val="Normal"/>
    <w:rsid w:val="00642700"/>
    <w:pPr>
      <w:numPr>
        <w:numId w:val="18"/>
      </w:numPr>
      <w:spacing w:before="120"/>
      <w:ind w:left="1080"/>
    </w:pPr>
    <w:rPr>
      <w:sz w:val="22"/>
      <w:szCs w:val="20"/>
    </w:rPr>
  </w:style>
  <w:style w:type="character" w:styleId="Hyperlink">
    <w:name w:val="Hyperlink"/>
    <w:basedOn w:val="DefaultParagraphFont"/>
    <w:uiPriority w:val="99"/>
    <w:unhideWhenUsed/>
    <w:rsid w:val="00DB298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erc.net/nercsurvey/Survey.aspx?s=b04b15af79ad48b6a6e9057f7cb157f0" TargetMode="Externa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2.xml"/><Relationship Id="rId2" Type="http://schemas.openxmlformats.org/officeDocument/2006/relationships/numbering" Target="numbering.xml"/><Relationship Id="rId16" Type="http://schemas.microsoft.com/office/2007/relationships/stylesWithEffects" Target="stylesWithEffects.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ephen.crutchfield@nerc.ne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16A999CE4C0149A2CB4442ED55C50B" ma:contentTypeVersion="27" ma:contentTypeDescription="Create a new document." ma:contentTypeScope="" ma:versionID="ce74cd79894de8684d5a85d5a7c37430">
  <xsd:schema xmlns:xsd="http://www.w3.org/2001/XMLSchema" xmlns:xs="http://www.w3.org/2001/XMLSchema" xmlns:p="http://schemas.microsoft.com/office/2006/metadata/properties" xmlns:ns2="d255dc3e-053e-4b62-8283-68abfc61cdbb" targetNamespace="http://schemas.microsoft.com/office/2006/metadata/properties" ma:root="true" ma:fieldsID="56454769a96bcef30ce1b17141ea6b30"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88CDDA-386A-4F1C-BB8C-929E5886DCD9}"/>
</file>

<file path=customXml/itemProps2.xml><?xml version="1.0" encoding="utf-8"?>
<ds:datastoreItem xmlns:ds="http://schemas.openxmlformats.org/officeDocument/2006/customXml" ds:itemID="{CE306189-E2CA-4E61-AD70-A0FDFE8B1E97}"/>
</file>

<file path=customXml/itemProps3.xml><?xml version="1.0" encoding="utf-8"?>
<ds:datastoreItem xmlns:ds="http://schemas.openxmlformats.org/officeDocument/2006/customXml" ds:itemID="{9C951DDC-089D-4261-9756-8B5283EF38A8}"/>
</file>

<file path=customXml/itemProps4.xml><?xml version="1.0" encoding="utf-8"?>
<ds:datastoreItem xmlns:ds="http://schemas.openxmlformats.org/officeDocument/2006/customXml" ds:itemID="{8D081E2B-988B-44ED-A8C3-92504EEF1EEC}"/>
</file>

<file path=customXml/itemProps5.xml><?xml version="1.0" encoding="utf-8"?>
<ds:datastoreItem xmlns:ds="http://schemas.openxmlformats.org/officeDocument/2006/customXml" ds:itemID="{8D081E2B-988B-44ED-A8C3-92504EEF1EEC}"/>
</file>

<file path=docProps/app.xml><?xml version="1.0" encoding="utf-8"?>
<Properties xmlns="http://schemas.openxmlformats.org/officeDocument/2006/extended-properties" xmlns:vt="http://schemas.openxmlformats.org/officeDocument/2006/docPropsVTypes">
  <Template>Normal.dotm</Template>
  <TotalTime>7</TotalTime>
  <Pages>7</Pages>
  <Words>2017</Words>
  <Characters>11178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NERC</Company>
  <LinksUpToDate>false</LinksUpToDate>
  <CharactersWithSpaces>13169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Spolar</dc:creator>
  <cp:lastModifiedBy>Monica Benson</cp:lastModifiedBy>
  <cp:revision>5</cp:revision>
  <cp:lastPrinted>2012-01-30T17:01:00Z</cp:lastPrinted>
  <dcterms:created xsi:type="dcterms:W3CDTF">2012-04-23T14:43:00Z</dcterms:created>
  <dcterms:modified xsi:type="dcterms:W3CDTF">2012-04-24T15:38:00Z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-1456646847</vt:i4>
  </property>
  <property fmtid="{D5CDD505-2E9C-101B-9397-08002B2CF9AE}" pid="3" name="_ReviewCycleID">
    <vt:i4>-1456646847</vt:i4>
  </property>
  <property fmtid="{D5CDD505-2E9C-101B-9397-08002B2CF9AE}" pid="4" name="_NewReviewCycle">
    <vt:lpwstr/>
  </property>
  <property fmtid="{D5CDD505-2E9C-101B-9397-08002B2CF9AE}" pid="5" name="_EmailEntryID">
    <vt:lpwstr>00000000A94546F6AC3C894397D277245B31D39A0700F034827878A2BF4D98A23E2705297824000003F7FC820000F034827878A2BF4D98A23E27052978240000043A5D350000</vt:lpwstr>
  </property>
  <property fmtid="{D5CDD505-2E9C-101B-9397-08002B2CF9AE}" pid="6" name="_ReviewingToolsShownOnce">
    <vt:lpwstr/>
  </property>
  <property fmtid="{D5CDD505-2E9C-101B-9397-08002B2CF9AE}" pid="7" name="ContentTypeId">
    <vt:lpwstr>0x0101003B16A999CE4C0149A2CB4442ED55C50B</vt:lpwstr>
  </property>
  <property fmtid="{D5CDD505-2E9C-101B-9397-08002B2CF9AE}" pid="8" name="_dlc_DocIdItemGuid">
    <vt:lpwstr>87f91c27-84c2-4cdd-bd77-dfb8944cb66b</vt:lpwstr>
  </property>
</Properties>
</file>