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FEB5" w14:textId="77777777" w:rsidR="0039275D" w:rsidRPr="009A3A85" w:rsidRDefault="00A92B1C" w:rsidP="00D933A3">
      <w:pPr>
        <w:pStyle w:val="DocumentTitle"/>
        <w:rPr>
          <w:sz w:val="48"/>
          <w:szCs w:val="48"/>
        </w:rPr>
      </w:pPr>
      <w:r w:rsidRPr="009A3A85">
        <w:rPr>
          <w:sz w:val="48"/>
          <w:szCs w:val="48"/>
        </w:rPr>
        <w:t>Unoff</w:t>
      </w:r>
      <w:r w:rsidR="0073546A" w:rsidRPr="009A3A85">
        <w:rPr>
          <w:sz w:val="48"/>
          <w:szCs w:val="48"/>
        </w:rPr>
        <w:t>i</w:t>
      </w:r>
      <w:r w:rsidRPr="009A3A85">
        <w:rPr>
          <w:sz w:val="48"/>
          <w:szCs w:val="48"/>
        </w:rPr>
        <w:t>cial Comment Form</w:t>
      </w:r>
    </w:p>
    <w:p w14:paraId="08D75002" w14:textId="117F71BD" w:rsidR="00D933A3" w:rsidRPr="009A3A85" w:rsidRDefault="00A92B1C" w:rsidP="00D933A3">
      <w:pPr>
        <w:pStyle w:val="DocumentSubtitle"/>
        <w:rPr>
          <w:sz w:val="40"/>
          <w:szCs w:val="40"/>
        </w:rPr>
      </w:pPr>
      <w:bookmarkStart w:id="0" w:name="_Toc195946480"/>
      <w:r w:rsidRPr="009A3A85">
        <w:rPr>
          <w:sz w:val="40"/>
          <w:szCs w:val="40"/>
        </w:rPr>
        <w:t xml:space="preserve">Project </w:t>
      </w:r>
      <w:r w:rsidR="000A5E77">
        <w:rPr>
          <w:sz w:val="40"/>
          <w:szCs w:val="40"/>
        </w:rPr>
        <w:t>2007-</w:t>
      </w:r>
      <w:r w:rsidR="00C443C5">
        <w:rPr>
          <w:sz w:val="40"/>
          <w:szCs w:val="40"/>
        </w:rPr>
        <w:t>1</w:t>
      </w:r>
      <w:r w:rsidR="00570E48">
        <w:rPr>
          <w:sz w:val="40"/>
          <w:szCs w:val="40"/>
        </w:rPr>
        <w:t>7.3</w:t>
      </w:r>
      <w:r w:rsidRPr="009A3A85">
        <w:rPr>
          <w:sz w:val="40"/>
          <w:szCs w:val="40"/>
        </w:rPr>
        <w:t xml:space="preserve"> </w:t>
      </w:r>
      <w:r w:rsidR="00570E48">
        <w:rPr>
          <w:sz w:val="40"/>
          <w:szCs w:val="40"/>
        </w:rPr>
        <w:t>Protection System Maintenance and Testing – Phase 3 (Sudden Pressure Relays)</w:t>
      </w:r>
    </w:p>
    <w:p w14:paraId="4724FF91" w14:textId="77777777" w:rsidR="002F2BFE" w:rsidRDefault="002F2BFE" w:rsidP="00102A01">
      <w:pPr>
        <w:pStyle w:val="Heading1"/>
      </w:pPr>
    </w:p>
    <w:p w14:paraId="716D4945" w14:textId="074BF24E"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2" w:history="1">
        <w:r w:rsidRPr="00B742AA">
          <w:rPr>
            <w:rStyle w:val="Hyperlink"/>
          </w:rPr>
          <w:t>electronic form</w:t>
        </w:r>
      </w:hyperlink>
      <w:r w:rsidRPr="000B7836">
        <w:t xml:space="preserve"> to submit comments on the </w:t>
      </w:r>
      <w:r w:rsidR="005A2920">
        <w:t xml:space="preserve">draft </w:t>
      </w:r>
      <w:r w:rsidR="005D4CF7">
        <w:t>PRC-005-X</w:t>
      </w:r>
      <w:r w:rsidR="00685D35">
        <w:t xml:space="preserve"> </w:t>
      </w:r>
      <w:r w:rsidR="003C2871">
        <w:t>s</w:t>
      </w:r>
      <w:r>
        <w:t>tandard</w:t>
      </w:r>
      <w:r w:rsidRPr="000B7836">
        <w:t xml:space="preserve">.  The electronic comment form must be completed by </w:t>
      </w:r>
      <w:r w:rsidR="00F7641D">
        <w:t xml:space="preserve">8:00 p.m. ET </w:t>
      </w:r>
      <w:r w:rsidR="00B21462">
        <w:t xml:space="preserve">on </w:t>
      </w:r>
      <w:r w:rsidR="009A3A85" w:rsidRPr="006328DD">
        <w:rPr>
          <w:b/>
          <w:color w:val="FF0000"/>
        </w:rPr>
        <w:t>Friday</w:t>
      </w:r>
      <w:r w:rsidR="00A159B9" w:rsidRPr="006328DD">
        <w:rPr>
          <w:b/>
          <w:color w:val="FF0000"/>
        </w:rPr>
        <w:t xml:space="preserve">, </w:t>
      </w:r>
      <w:r w:rsidR="00090263">
        <w:rPr>
          <w:b/>
          <w:color w:val="FF0000"/>
        </w:rPr>
        <w:t>September 12</w:t>
      </w:r>
      <w:bookmarkStart w:id="2" w:name="_GoBack"/>
      <w:bookmarkEnd w:id="2"/>
      <w:r w:rsidR="00A80404" w:rsidRPr="006328DD">
        <w:rPr>
          <w:b/>
          <w:color w:val="FF0000"/>
        </w:rPr>
        <w:t>, 2014</w:t>
      </w:r>
      <w:r w:rsidR="00C64E95" w:rsidRPr="006328DD">
        <w:t>.</w:t>
      </w:r>
    </w:p>
    <w:p w14:paraId="08A0D5FA" w14:textId="77777777" w:rsidR="0073546A" w:rsidRPr="000B7836" w:rsidRDefault="0073546A" w:rsidP="0073546A"/>
    <w:p w14:paraId="1D3D9FAE" w14:textId="77777777" w:rsidR="0073546A" w:rsidRDefault="0073546A" w:rsidP="0073546A">
      <w:r w:rsidRPr="000B7836">
        <w:t xml:space="preserve">If you have questions please contact </w:t>
      </w:r>
      <w:hyperlink r:id="rId13" w:history="1">
        <w:r w:rsidR="00ED3583">
          <w:rPr>
            <w:rStyle w:val="Hyperlink"/>
          </w:rPr>
          <w:t>Jordan Mallory</w:t>
        </w:r>
      </w:hyperlink>
      <w:r w:rsidR="003C2871">
        <w:t xml:space="preserve"> via</w:t>
      </w:r>
      <w:r w:rsidR="00C97D29">
        <w:t xml:space="preserve"> email </w:t>
      </w:r>
      <w:r w:rsidRPr="000B7836">
        <w:t xml:space="preserve">or by telephone at </w:t>
      </w:r>
      <w:r w:rsidR="00C64E95">
        <w:t>404-446-</w:t>
      </w:r>
      <w:r w:rsidR="00ED3583">
        <w:t>9733</w:t>
      </w:r>
      <w:r w:rsidRPr="000B7836">
        <w:t>.</w:t>
      </w:r>
    </w:p>
    <w:p w14:paraId="6023911A" w14:textId="77777777" w:rsidR="0073546A" w:rsidRPr="000B7836" w:rsidRDefault="0073546A" w:rsidP="0073546A"/>
    <w:p w14:paraId="4F8289CE" w14:textId="77777777" w:rsidR="0039275D" w:rsidRDefault="004739A3" w:rsidP="0073546A">
      <w:r>
        <w:t xml:space="preserve">The project page may be accessed </w:t>
      </w:r>
      <w:r w:rsidRPr="008C4BC5">
        <w:t xml:space="preserve">by </w:t>
      </w:r>
      <w:hyperlink r:id="rId14" w:history="1">
        <w:r w:rsidRPr="00570E48">
          <w:rPr>
            <w:rStyle w:val="Hyperlink"/>
          </w:rPr>
          <w:t>clicking here</w:t>
        </w:r>
      </w:hyperlink>
      <w:r>
        <w:t>.</w:t>
      </w:r>
      <w:r w:rsidR="00ED5673">
        <w:tab/>
      </w:r>
    </w:p>
    <w:p w14:paraId="5DED8B3C" w14:textId="77777777" w:rsidR="002F2BFE" w:rsidRPr="00136931" w:rsidRDefault="002F2BFE" w:rsidP="00D933A3"/>
    <w:bookmarkEnd w:id="1"/>
    <w:p w14:paraId="7D03701C" w14:textId="77777777" w:rsidR="0039275D" w:rsidRPr="00102A01" w:rsidRDefault="0073546A" w:rsidP="00102A01">
      <w:pPr>
        <w:pStyle w:val="Heading2"/>
      </w:pPr>
      <w:r>
        <w:t>Background Information</w:t>
      </w:r>
    </w:p>
    <w:p w14:paraId="07F0D0EB" w14:textId="77777777" w:rsidR="00570E48" w:rsidRPr="00570E48" w:rsidRDefault="00570E48" w:rsidP="00570E48">
      <w:pPr>
        <w:shd w:val="clear" w:color="auto" w:fill="FFFFFF"/>
        <w:rPr>
          <w:rFonts w:ascii="Tahoma" w:hAnsi="Tahoma" w:cs="Tahoma"/>
          <w:color w:val="000000"/>
        </w:rPr>
      </w:pPr>
      <w:bookmarkStart w:id="3" w:name="_Toc195946482"/>
      <w:r w:rsidRPr="00570E48">
        <w:rPr>
          <w:rFonts w:ascii="Calibri" w:hAnsi="Calibri" w:cs="Tahoma"/>
          <w:color w:val="000000"/>
        </w:rPr>
        <w:t>Project 2007-17.3 (PRC-005-</w:t>
      </w:r>
      <w:r w:rsidR="00074057">
        <w:rPr>
          <w:rFonts w:ascii="Calibri" w:hAnsi="Calibri" w:cs="Tahoma"/>
          <w:color w:val="000000"/>
        </w:rPr>
        <w:t>X</w:t>
      </w:r>
      <w:r w:rsidRPr="00570E48">
        <w:rPr>
          <w:rFonts w:ascii="Calibri" w:hAnsi="Calibri" w:cs="Tahoma"/>
          <w:color w:val="000000"/>
        </w:rPr>
        <w:t>) will address a directive from FERC Order No. 758, which accepted NERC’s proposal to develop a technical document, in lieu of a prescriptive FERC directive, that will provide the following information:</w:t>
      </w:r>
    </w:p>
    <w:p w14:paraId="3C8B8CD5" w14:textId="25C5817B" w:rsidR="00570E48" w:rsidRPr="00570E48" w:rsidRDefault="00DF2751" w:rsidP="00570E48">
      <w:pPr>
        <w:pStyle w:val="ListParagraph"/>
        <w:numPr>
          <w:ilvl w:val="0"/>
          <w:numId w:val="26"/>
        </w:numPr>
        <w:shd w:val="clear" w:color="auto" w:fill="FFFFFF"/>
        <w:spacing w:before="120"/>
        <w:contextualSpacing w:val="0"/>
        <w:rPr>
          <w:rFonts w:ascii="Tahoma" w:hAnsi="Tahoma" w:cs="Tahoma"/>
          <w:color w:val="000000"/>
          <w:sz w:val="18"/>
          <w:szCs w:val="18"/>
        </w:rPr>
      </w:pPr>
      <w:r>
        <w:rPr>
          <w:rFonts w:ascii="Calibri" w:hAnsi="Calibri" w:cs="Tahoma"/>
          <w:color w:val="000000"/>
        </w:rPr>
        <w:t>D</w:t>
      </w:r>
      <w:r w:rsidR="00570E48" w:rsidRPr="00570E48">
        <w:rPr>
          <w:rFonts w:ascii="Calibri" w:hAnsi="Calibri" w:cs="Tahoma"/>
          <w:color w:val="000000"/>
        </w:rPr>
        <w:t>escribe the devices and functions (to include sudden pressure relays which trip for fault conditions) that should address FERC’s concern; and</w:t>
      </w:r>
    </w:p>
    <w:p w14:paraId="50A68977" w14:textId="6BD9E033" w:rsidR="00570E48" w:rsidRPr="00570E48" w:rsidRDefault="00DF2751" w:rsidP="0048684D">
      <w:pPr>
        <w:pStyle w:val="ListParagraph"/>
        <w:numPr>
          <w:ilvl w:val="0"/>
          <w:numId w:val="26"/>
        </w:numPr>
        <w:shd w:val="clear" w:color="auto" w:fill="FFFFFF"/>
        <w:spacing w:before="120"/>
        <w:contextualSpacing w:val="0"/>
        <w:rPr>
          <w:rFonts w:ascii="Tahoma" w:hAnsi="Tahoma" w:cs="Tahoma"/>
          <w:color w:val="000000"/>
          <w:sz w:val="18"/>
          <w:szCs w:val="18"/>
        </w:rPr>
      </w:pPr>
      <w:r w:rsidRPr="00570E48">
        <w:rPr>
          <w:rFonts w:ascii="Calibri" w:hAnsi="Calibri" w:cs="Tahoma"/>
          <w:color w:val="000000"/>
        </w:rPr>
        <w:t>Propose</w:t>
      </w:r>
      <w:r w:rsidR="00570E48" w:rsidRPr="00570E48">
        <w:rPr>
          <w:rFonts w:ascii="Calibri" w:hAnsi="Calibri" w:cs="Tahoma"/>
          <w:color w:val="000000"/>
        </w:rPr>
        <w:t xml:space="preserve"> minimum maintenance activities for such devices and maximum maintenance intervals, including the technical basis for each. </w:t>
      </w:r>
    </w:p>
    <w:p w14:paraId="1FF47C04" w14:textId="77777777" w:rsidR="00570E48" w:rsidRDefault="00570E48" w:rsidP="0048684D">
      <w:pPr>
        <w:shd w:val="clear" w:color="auto" w:fill="FFFFFF"/>
        <w:jc w:val="both"/>
        <w:rPr>
          <w:rFonts w:ascii="Calibri" w:hAnsi="Calibri" w:cs="Tahoma"/>
          <w:color w:val="000000"/>
        </w:rPr>
      </w:pPr>
    </w:p>
    <w:p w14:paraId="01465A82" w14:textId="77777777" w:rsidR="00570E48" w:rsidRPr="00570E48" w:rsidRDefault="00570E48" w:rsidP="00570E48">
      <w:pPr>
        <w:shd w:val="clear" w:color="auto" w:fill="FFFFFF"/>
        <w:jc w:val="both"/>
        <w:rPr>
          <w:rFonts w:ascii="Tahoma" w:hAnsi="Tahoma" w:cs="Tahoma"/>
          <w:color w:val="000000"/>
        </w:rPr>
      </w:pPr>
      <w:r w:rsidRPr="00570E48">
        <w:rPr>
          <w:rFonts w:ascii="Calibri" w:hAnsi="Calibri" w:cs="Tahoma"/>
          <w:color w:val="000000"/>
        </w:rPr>
        <w:t>In Order No. 758, the Commission accepted NERC’s proposal, by stating as follows:</w:t>
      </w:r>
    </w:p>
    <w:p w14:paraId="030AD16C" w14:textId="77777777" w:rsidR="00570E48" w:rsidRDefault="00570E48" w:rsidP="00074057">
      <w:pPr>
        <w:shd w:val="clear" w:color="auto" w:fill="FFFFFF"/>
        <w:spacing w:before="120"/>
        <w:ind w:left="720"/>
        <w:jc w:val="both"/>
        <w:rPr>
          <w:rFonts w:ascii="Calibri" w:hAnsi="Calibri" w:cs="Tahoma"/>
          <w:color w:val="000000"/>
        </w:rPr>
      </w:pPr>
      <w:r w:rsidRPr="00570E48">
        <w:rPr>
          <w:rFonts w:ascii="Calibri" w:hAnsi="Calibri" w:cs="Tahoma"/>
          <w:color w:val="000000"/>
        </w:rPr>
        <w:t xml:space="preserve">NERC states that these technical documents will address those protective relays that are necessary for the reliable operation of the Bulk-Power System and will allow for differentiation between protective relays that detect faults from other devices that monitor the health of the individual equipment and are advisory in nature (e.g., oil temperature). Following development of the above-referenced document(s), NERC states that it will "propose a new or revised standard (e.g. PRC-005) using the NERC Reliability Standards development process to include maintenance of such devices, including establishment of minimum maintenance activities and maximum maintenance intervals." Accordingly, NERC proposes to "add this issue to the Reliability Standards issues database for inclusion in the list of issues to address the next time the PRC-005 standard is revised." </w:t>
      </w:r>
    </w:p>
    <w:p w14:paraId="5110C572" w14:textId="77777777" w:rsidR="00570E48" w:rsidRDefault="00570E48" w:rsidP="00074057">
      <w:pPr>
        <w:shd w:val="clear" w:color="auto" w:fill="FFFFFF"/>
        <w:spacing w:before="120"/>
        <w:ind w:left="720"/>
        <w:jc w:val="both"/>
        <w:rPr>
          <w:rFonts w:ascii="Calibri" w:hAnsi="Calibri" w:cs="Tahoma"/>
          <w:color w:val="000000"/>
        </w:rPr>
      </w:pPr>
      <w:r w:rsidRPr="00570E48">
        <w:rPr>
          <w:rFonts w:ascii="Calibri" w:hAnsi="Calibri" w:cs="Tahoma"/>
          <w:color w:val="000000"/>
        </w:rPr>
        <w:t xml:space="preserve">The Commission accepts NERC's proposal, and directs NERC to file, within sixty days of publication of this Final Rule, a schedule for informational purposes regarding the development of the technical documents referenced above, including the identification of devices that are designed to sense or take action against any abnormal system condition that will affect reliable operation. NERC shall include in the informational filing a schedule for the development of the changes to the standard </w:t>
      </w:r>
      <w:r w:rsidRPr="00570E48">
        <w:rPr>
          <w:rFonts w:ascii="Calibri" w:hAnsi="Calibri" w:cs="Tahoma"/>
          <w:color w:val="000000"/>
        </w:rPr>
        <w:lastRenderedPageBreak/>
        <w:t xml:space="preserve">that NERC stated it would propose as a result of the above-referenced documents. NERC should update its schedule when it files its annual work plan. </w:t>
      </w:r>
    </w:p>
    <w:p w14:paraId="0B738802" w14:textId="77777777" w:rsidR="00570E48" w:rsidRPr="00570E48" w:rsidRDefault="00570E48" w:rsidP="00570E48">
      <w:pPr>
        <w:shd w:val="clear" w:color="auto" w:fill="FFFFFF"/>
        <w:jc w:val="both"/>
        <w:rPr>
          <w:rFonts w:ascii="Tahoma" w:hAnsi="Tahoma" w:cs="Tahoma"/>
          <w:color w:val="000000"/>
          <w:sz w:val="18"/>
          <w:szCs w:val="18"/>
        </w:rPr>
      </w:pPr>
    </w:p>
    <w:p w14:paraId="6A357AEF" w14:textId="669F937E" w:rsidR="002F2BFE" w:rsidRDefault="00570E48" w:rsidP="00570E48">
      <w:r w:rsidRPr="00570E48">
        <w:rPr>
          <w:rFonts w:ascii="Calibri" w:hAnsi="Calibri" w:cs="Tahoma"/>
          <w:color w:val="000000"/>
        </w:rPr>
        <w:t xml:space="preserve">As a follow-up to this Commission ruling, the Planning Committee studied sudden pressure relays and issued the attached report, which recommends moving ahead with a Standard. Specifically, the System Protection and Control Subcommittee (SPCS) completed a technical report recommending that a standard drafting team modify PRC‐005 to explicitly address maintenance and testing of the actuator device of the sudden pressure relay when applied as a protective device that trips a facility described in the applicability section of the Reliability Standard. Additionally, the standard drafting team (SDT) intends to consider changes to the standard that provide consistency and alignment with other Reliability Standards. Lastly, the </w:t>
      </w:r>
      <w:r w:rsidR="00AD07DE">
        <w:rPr>
          <w:rFonts w:ascii="Calibri" w:hAnsi="Calibri" w:cs="Tahoma"/>
          <w:color w:val="000000"/>
        </w:rPr>
        <w:t>SDT</w:t>
      </w:r>
      <w:r w:rsidRPr="00570E48">
        <w:rPr>
          <w:rFonts w:ascii="Calibri" w:hAnsi="Calibri" w:cs="Tahoma"/>
          <w:color w:val="000000"/>
        </w:rPr>
        <w:t xml:space="preserve"> intends to modify the standard to address any directives issued by FERC related to the approval of PRC-005-3, which is pending filing with FERC</w:t>
      </w:r>
      <w:r>
        <w:rPr>
          <w:rFonts w:ascii="Calibri" w:hAnsi="Calibri" w:cs="Tahoma"/>
          <w:color w:val="000000"/>
        </w:rPr>
        <w:t xml:space="preserve">. </w:t>
      </w:r>
    </w:p>
    <w:bookmarkEnd w:id="3"/>
    <w:p w14:paraId="20BA043C" w14:textId="77777777" w:rsidR="00F7641D" w:rsidRDefault="00F7641D"/>
    <w:p w14:paraId="1B412A5F" w14:textId="77777777" w:rsidR="00570E48" w:rsidRPr="00570E48" w:rsidRDefault="00570E48">
      <w:pPr>
        <w:rPr>
          <w:b/>
        </w:rPr>
      </w:pPr>
      <w:r w:rsidRPr="00570E48">
        <w:rPr>
          <w:b/>
        </w:rPr>
        <w:t xml:space="preserve">PRC-005-X Revisions for draft </w:t>
      </w:r>
      <w:r w:rsidR="006664BF">
        <w:rPr>
          <w:b/>
        </w:rPr>
        <w:t>2</w:t>
      </w:r>
      <w:r w:rsidRPr="00570E48">
        <w:rPr>
          <w:b/>
        </w:rPr>
        <w:t xml:space="preserve">: </w:t>
      </w:r>
    </w:p>
    <w:p w14:paraId="2E03374F" w14:textId="7324ADBE" w:rsidR="00570E48" w:rsidRDefault="00570E48" w:rsidP="00570E48">
      <w:r w:rsidRPr="00570E48">
        <w:t xml:space="preserve">The </w:t>
      </w:r>
      <w:r w:rsidR="00AD07DE">
        <w:t>SDT</w:t>
      </w:r>
      <w:r w:rsidRPr="00570E48">
        <w:t xml:space="preserve"> made </w:t>
      </w:r>
      <w:r w:rsidR="00AD07DE">
        <w:t>four (4)</w:t>
      </w:r>
      <w:r w:rsidR="00CC1167">
        <w:t xml:space="preserve"> significant </w:t>
      </w:r>
      <w:r w:rsidRPr="00570E48">
        <w:t>revisions to</w:t>
      </w:r>
      <w:r w:rsidR="00331CD6">
        <w:t xml:space="preserve"> </w:t>
      </w:r>
      <w:r w:rsidR="00CC1167">
        <w:t>this draft of</w:t>
      </w:r>
      <w:r w:rsidR="00667B65">
        <w:t xml:space="preserve"> PRC-005-X</w:t>
      </w:r>
      <w:r w:rsidRPr="00570E48">
        <w:t xml:space="preserve"> </w:t>
      </w:r>
      <w:r w:rsidR="00667B65">
        <w:t xml:space="preserve">and below provides a </w:t>
      </w:r>
      <w:r w:rsidR="00331CD6">
        <w:t xml:space="preserve">high level list of the changes: </w:t>
      </w:r>
      <w:r w:rsidR="00667B65">
        <w:t xml:space="preserve"> </w:t>
      </w:r>
    </w:p>
    <w:p w14:paraId="34FC1BF0" w14:textId="0A35CC7E" w:rsidR="00CC1167" w:rsidRPr="00C65842" w:rsidRDefault="00CC1167" w:rsidP="0048684D">
      <w:pPr>
        <w:pStyle w:val="ListParagraph"/>
        <w:numPr>
          <w:ilvl w:val="0"/>
          <w:numId w:val="30"/>
        </w:numPr>
        <w:spacing w:before="120"/>
        <w:contextualSpacing w:val="0"/>
        <w:jc w:val="both"/>
        <w:rPr>
          <w:rFonts w:ascii="Calibri" w:hAnsi="Calibri" w:cs="Tahoma"/>
          <w:color w:val="000000"/>
        </w:rPr>
      </w:pPr>
      <w:r w:rsidRPr="00CC1167">
        <w:rPr>
          <w:rFonts w:ascii="Calibri" w:hAnsi="Calibri" w:cs="Tahoma"/>
          <w:color w:val="000000"/>
        </w:rPr>
        <w:t xml:space="preserve">After considering industry comments, which included various alternatives and much discussion within the SDT, Requirement R6 and all associated references to Requirement R6 were removed from the standard. Associated with this change the following response was provided to several commenters: </w:t>
      </w:r>
      <w:r>
        <w:rPr>
          <w:rFonts w:ascii="Calibri" w:hAnsi="Calibri" w:cs="Tahoma"/>
          <w:color w:val="000000"/>
        </w:rPr>
        <w:t>“</w:t>
      </w:r>
      <w:r w:rsidRPr="00CC1167">
        <w:rPr>
          <w:rFonts w:ascii="Calibri" w:hAnsi="Calibri" w:cs="Tahoma"/>
          <w:color w:val="000000"/>
        </w:rPr>
        <w:t>The A</w:t>
      </w:r>
      <w:r>
        <w:rPr>
          <w:rFonts w:ascii="Calibri" w:hAnsi="Calibri" w:cs="Tahoma"/>
          <w:color w:val="000000"/>
        </w:rPr>
        <w:t xml:space="preserve">utomatic Reclosing </w:t>
      </w:r>
      <w:r w:rsidR="00605DD2">
        <w:rPr>
          <w:rFonts w:ascii="Calibri" w:hAnsi="Calibri" w:cs="Tahoma"/>
          <w:color w:val="000000"/>
        </w:rPr>
        <w:t>equipment</w:t>
      </w:r>
      <w:r>
        <w:rPr>
          <w:rFonts w:ascii="Calibri" w:hAnsi="Calibri" w:cs="Tahoma"/>
          <w:color w:val="000000"/>
        </w:rPr>
        <w:t xml:space="preserve"> ‘owner’</w:t>
      </w:r>
      <w:r w:rsidRPr="00CC1167">
        <w:rPr>
          <w:rFonts w:ascii="Calibri" w:hAnsi="Calibri" w:cs="Tahoma"/>
          <w:color w:val="000000"/>
        </w:rPr>
        <w:t xml:space="preserve"> is responsible for identifying Automatic Reclosing Components that must be included in their PSMP. The SDT eliminated Requirement R6; therefore, the owner is responsible for </w:t>
      </w:r>
      <w:r w:rsidR="00D55D06">
        <w:rPr>
          <w:rFonts w:ascii="Calibri" w:hAnsi="Calibri" w:cs="Tahoma"/>
          <w:color w:val="000000"/>
        </w:rPr>
        <w:t>obtain</w:t>
      </w:r>
      <w:r w:rsidRPr="00CC1167">
        <w:rPr>
          <w:rFonts w:ascii="Calibri" w:hAnsi="Calibri" w:cs="Tahoma"/>
          <w:color w:val="000000"/>
        </w:rPr>
        <w:t>ing the largest generating unit information.</w:t>
      </w:r>
      <w:r>
        <w:rPr>
          <w:rFonts w:ascii="Calibri" w:hAnsi="Calibri" w:cs="Tahoma"/>
          <w:color w:val="000000"/>
        </w:rPr>
        <w:t>”</w:t>
      </w:r>
    </w:p>
    <w:p w14:paraId="46C8A472" w14:textId="77777777" w:rsidR="00CC1167" w:rsidRPr="00BD7E1B" w:rsidRDefault="00CC1167" w:rsidP="00C65842">
      <w:pPr>
        <w:pStyle w:val="ListParagraph"/>
        <w:numPr>
          <w:ilvl w:val="0"/>
          <w:numId w:val="30"/>
        </w:numPr>
        <w:spacing w:before="120"/>
        <w:contextualSpacing w:val="0"/>
        <w:rPr>
          <w:rFonts w:ascii="Calibri" w:hAnsi="Calibri" w:cs="Tahoma"/>
          <w:color w:val="000000"/>
        </w:rPr>
      </w:pPr>
      <w:r w:rsidRPr="00BD7E1B">
        <w:rPr>
          <w:rFonts w:ascii="Calibri" w:hAnsi="Calibri" w:cs="Tahoma"/>
          <w:color w:val="000000"/>
        </w:rPr>
        <w:t>Table 5:</w:t>
      </w:r>
    </w:p>
    <w:p w14:paraId="1A599696" w14:textId="2AFE669A" w:rsidR="00CC1167" w:rsidRPr="002A75B3" w:rsidRDefault="00CC1167" w:rsidP="00AD07DE">
      <w:pPr>
        <w:pStyle w:val="ListParagraph"/>
        <w:numPr>
          <w:ilvl w:val="1"/>
          <w:numId w:val="29"/>
        </w:numPr>
        <w:spacing w:before="120"/>
        <w:ind w:left="1080"/>
        <w:contextualSpacing w:val="0"/>
        <w:rPr>
          <w:rFonts w:ascii="Calibri" w:hAnsi="Calibri" w:cs="Tahoma"/>
          <w:color w:val="000000"/>
        </w:rPr>
      </w:pPr>
      <w:r w:rsidRPr="002A75B3">
        <w:rPr>
          <w:rFonts w:ascii="Calibri" w:hAnsi="Calibri" w:cs="Tahoma"/>
          <w:color w:val="000000"/>
        </w:rPr>
        <w:t>The header for</w:t>
      </w:r>
      <w:r w:rsidR="00C65842">
        <w:rPr>
          <w:rFonts w:ascii="Calibri" w:hAnsi="Calibri" w:cs="Tahoma"/>
          <w:color w:val="000000"/>
        </w:rPr>
        <w:t xml:space="preserve"> </w:t>
      </w:r>
      <w:r w:rsidRPr="002A75B3">
        <w:rPr>
          <w:rFonts w:ascii="Calibri" w:hAnsi="Calibri" w:cs="Tahoma"/>
          <w:color w:val="000000"/>
        </w:rPr>
        <w:t xml:space="preserve">Table 5 was modified to include the following: </w:t>
      </w:r>
    </w:p>
    <w:p w14:paraId="79F2C4EA" w14:textId="32D1EB8D" w:rsidR="00CC1167" w:rsidRPr="00BD7E1B" w:rsidRDefault="00D55D06" w:rsidP="00AD07DE">
      <w:pPr>
        <w:spacing w:before="120"/>
        <w:ind w:left="1080"/>
        <w:rPr>
          <w:rFonts w:ascii="Calibri" w:hAnsi="Calibri" w:cs="Tahoma"/>
          <w:color w:val="000000"/>
        </w:rPr>
      </w:pPr>
      <w:r>
        <w:rPr>
          <w:rFonts w:ascii="Calibri" w:hAnsi="Calibri" w:cs="Tahoma"/>
          <w:color w:val="000000"/>
        </w:rPr>
        <w:t>Note: In cases where C</w:t>
      </w:r>
      <w:r w:rsidR="00CC1167" w:rsidRPr="002A75B3">
        <w:rPr>
          <w:rFonts w:ascii="Calibri" w:hAnsi="Calibri" w:cs="Tahoma"/>
          <w:color w:val="000000"/>
        </w:rPr>
        <w:t>omponents of Sudden P</w:t>
      </w:r>
      <w:r>
        <w:rPr>
          <w:rFonts w:ascii="Calibri" w:hAnsi="Calibri" w:cs="Tahoma"/>
          <w:color w:val="000000"/>
        </w:rPr>
        <w:t>ressure Relaying are common to C</w:t>
      </w:r>
      <w:r w:rsidR="00CC1167" w:rsidRPr="002A75B3">
        <w:rPr>
          <w:rFonts w:ascii="Calibri" w:hAnsi="Calibri" w:cs="Tahoma"/>
          <w:color w:val="000000"/>
        </w:rPr>
        <w:t>ompo</w:t>
      </w:r>
      <w:r>
        <w:rPr>
          <w:rFonts w:ascii="Calibri" w:hAnsi="Calibri" w:cs="Tahoma"/>
          <w:color w:val="000000"/>
        </w:rPr>
        <w:t>nents listed in Table 1-5, the C</w:t>
      </w:r>
      <w:r w:rsidR="00CC1167" w:rsidRPr="002A75B3">
        <w:rPr>
          <w:rFonts w:ascii="Calibri" w:hAnsi="Calibri" w:cs="Tahoma"/>
          <w:color w:val="000000"/>
        </w:rPr>
        <w:t xml:space="preserve">omponents only need to be tested once during </w:t>
      </w:r>
      <w:r w:rsidR="00CC1167">
        <w:rPr>
          <w:rFonts w:ascii="Calibri" w:hAnsi="Calibri" w:cs="Tahoma"/>
          <w:color w:val="000000"/>
        </w:rPr>
        <w:t>a distinct maintenance interval.</w:t>
      </w:r>
    </w:p>
    <w:p w14:paraId="75F38AE8" w14:textId="5219116D" w:rsidR="00CC1167" w:rsidRPr="00C65842" w:rsidRDefault="00CC1167" w:rsidP="00AD07DE">
      <w:pPr>
        <w:pStyle w:val="ListParagraph"/>
        <w:numPr>
          <w:ilvl w:val="0"/>
          <w:numId w:val="31"/>
        </w:numPr>
        <w:spacing w:before="120"/>
        <w:ind w:left="1080"/>
        <w:contextualSpacing w:val="0"/>
        <w:rPr>
          <w:rFonts w:ascii="Calibri" w:hAnsi="Calibri" w:cs="Tahoma"/>
          <w:color w:val="000000"/>
        </w:rPr>
      </w:pPr>
      <w:r w:rsidRPr="002A75B3">
        <w:rPr>
          <w:rFonts w:ascii="Calibri" w:hAnsi="Calibri" w:cs="Tahoma"/>
          <w:color w:val="000000"/>
        </w:rPr>
        <w:t>An additional two rows were added to Table 5 to include ‘Electromechanical lockout devices which are directly in a trip path from the fault pressure relay to the interrupting device trip coil (regardless of any monitoring of the control circuitry)</w:t>
      </w:r>
      <w:r>
        <w:rPr>
          <w:rFonts w:ascii="Calibri" w:hAnsi="Calibri" w:cs="Tahoma"/>
          <w:color w:val="000000"/>
        </w:rPr>
        <w:t>’</w:t>
      </w:r>
      <w:r w:rsidRPr="002A75B3">
        <w:rPr>
          <w:rFonts w:ascii="Calibri" w:hAnsi="Calibri" w:cs="Tahoma"/>
          <w:color w:val="000000"/>
        </w:rPr>
        <w:t xml:space="preserve"> and </w:t>
      </w:r>
      <w:r>
        <w:rPr>
          <w:rFonts w:ascii="Calibri" w:hAnsi="Calibri" w:cs="Tahoma"/>
          <w:color w:val="000000"/>
        </w:rPr>
        <w:t>‘</w:t>
      </w:r>
      <w:r w:rsidRPr="002A75B3">
        <w:rPr>
          <w:rFonts w:ascii="Calibri" w:hAnsi="Calibri" w:cs="Tahoma"/>
          <w:color w:val="000000"/>
        </w:rPr>
        <w:t>Control circuitry associated with Sudden Pressure Relaying whose integrity is monitored and alarmed (See Table 2).</w:t>
      </w:r>
      <w:r w:rsidR="00AD07DE">
        <w:rPr>
          <w:rFonts w:ascii="Calibri" w:hAnsi="Calibri" w:cs="Tahoma"/>
          <w:color w:val="000000"/>
        </w:rPr>
        <w:t>’</w:t>
      </w:r>
      <w:r w:rsidR="00C65842">
        <w:rPr>
          <w:rFonts w:ascii="Calibri" w:hAnsi="Calibri" w:cs="Tahoma"/>
          <w:color w:val="000000"/>
        </w:rPr>
        <w:t xml:space="preserve"> </w:t>
      </w:r>
    </w:p>
    <w:p w14:paraId="1B24EBCE" w14:textId="2497B5E0" w:rsidR="00CC1167" w:rsidRPr="003C4DD2" w:rsidRDefault="00CC1167" w:rsidP="00C65842">
      <w:pPr>
        <w:pStyle w:val="ListParagraph"/>
        <w:numPr>
          <w:ilvl w:val="0"/>
          <w:numId w:val="30"/>
        </w:numPr>
        <w:spacing w:before="120"/>
        <w:contextualSpacing w:val="0"/>
        <w:rPr>
          <w:rFonts w:ascii="Calibri" w:hAnsi="Calibri" w:cs="Tahoma"/>
          <w:color w:val="000000"/>
        </w:rPr>
      </w:pPr>
      <w:r w:rsidRPr="002A75B3">
        <w:rPr>
          <w:rFonts w:ascii="Calibri" w:hAnsi="Calibri" w:cs="Tahoma"/>
          <w:color w:val="000000"/>
        </w:rPr>
        <w:t>Section 4.2.6.1 of the Applicability was revised to address situations where Balancing Authorities participate in a Reserve Sharing Group</w:t>
      </w:r>
      <w:r w:rsidR="00AD07DE">
        <w:rPr>
          <w:rFonts w:ascii="Calibri" w:hAnsi="Calibri" w:cs="Tahoma"/>
          <w:color w:val="000000"/>
        </w:rPr>
        <w:t xml:space="preserve"> (RSG)</w:t>
      </w:r>
      <w:r w:rsidRPr="002A75B3">
        <w:rPr>
          <w:rFonts w:ascii="Calibri" w:hAnsi="Calibri" w:cs="Tahoma"/>
          <w:color w:val="000000"/>
        </w:rPr>
        <w:t xml:space="preserve">. In these cases, a group of Balancing Authorities share reserves to cover any contingency within the boundaries of the group; therefore, generation loss within a </w:t>
      </w:r>
      <w:r w:rsidR="00AD07DE">
        <w:rPr>
          <w:rFonts w:ascii="Calibri" w:hAnsi="Calibri" w:cs="Tahoma"/>
          <w:color w:val="000000"/>
        </w:rPr>
        <w:t>RSG</w:t>
      </w:r>
      <w:r w:rsidRPr="002A75B3">
        <w:rPr>
          <w:rFonts w:ascii="Calibri" w:hAnsi="Calibri" w:cs="Tahoma"/>
          <w:color w:val="000000"/>
        </w:rPr>
        <w:t xml:space="preserve"> would not impact reliability of the Bulk-Power System unless the aggregate capacity loss exceeds the largest unit within the </w:t>
      </w:r>
      <w:r w:rsidR="00AD07DE">
        <w:rPr>
          <w:rFonts w:ascii="Calibri" w:hAnsi="Calibri" w:cs="Tahoma"/>
          <w:color w:val="000000"/>
        </w:rPr>
        <w:t>RSG</w:t>
      </w:r>
      <w:r w:rsidRPr="002A75B3">
        <w:rPr>
          <w:rFonts w:ascii="Calibri" w:hAnsi="Calibri" w:cs="Tahoma"/>
          <w:color w:val="000000"/>
        </w:rPr>
        <w:t>. This change</w:t>
      </w:r>
      <w:r w:rsidR="00DD77A9">
        <w:rPr>
          <w:rFonts w:ascii="Calibri" w:hAnsi="Calibri" w:cs="Tahoma"/>
          <w:color w:val="000000"/>
        </w:rPr>
        <w:t xml:space="preserve"> was discussed with SAMS and SPCS</w:t>
      </w:r>
      <w:r w:rsidR="00B14603">
        <w:rPr>
          <w:rFonts w:ascii="Calibri" w:hAnsi="Calibri" w:cs="Tahoma"/>
          <w:color w:val="000000"/>
        </w:rPr>
        <w:t xml:space="preserve"> to confirm</w:t>
      </w:r>
      <w:r w:rsidRPr="002A75B3">
        <w:rPr>
          <w:rFonts w:ascii="Calibri" w:hAnsi="Calibri" w:cs="Tahoma"/>
          <w:color w:val="000000"/>
        </w:rPr>
        <w:t xml:space="preserve"> consisten</w:t>
      </w:r>
      <w:r w:rsidR="00B14603">
        <w:rPr>
          <w:rFonts w:ascii="Calibri" w:hAnsi="Calibri" w:cs="Tahoma"/>
          <w:color w:val="000000"/>
        </w:rPr>
        <w:t>cy</w:t>
      </w:r>
      <w:r w:rsidRPr="002A75B3">
        <w:rPr>
          <w:rFonts w:ascii="Calibri" w:hAnsi="Calibri" w:cs="Tahoma"/>
          <w:color w:val="000000"/>
        </w:rPr>
        <w:t xml:space="preserve"> with the </w:t>
      </w:r>
      <w:r w:rsidR="00DD77A9">
        <w:rPr>
          <w:rFonts w:ascii="Calibri" w:hAnsi="Calibri" w:cs="Tahoma"/>
          <w:color w:val="000000"/>
        </w:rPr>
        <w:t>rationale described in the SAMS-</w:t>
      </w:r>
      <w:r w:rsidRPr="002A75B3">
        <w:rPr>
          <w:rFonts w:ascii="Calibri" w:hAnsi="Calibri" w:cs="Tahoma"/>
          <w:color w:val="000000"/>
        </w:rPr>
        <w:t>SPCS report for basing applicability on the largest unit i</w:t>
      </w:r>
      <w:r w:rsidR="0048684D">
        <w:rPr>
          <w:rFonts w:ascii="Calibri" w:hAnsi="Calibri" w:cs="Tahoma"/>
          <w:color w:val="000000"/>
        </w:rPr>
        <w:t>n the Balancing Authority Area.</w:t>
      </w:r>
      <w:r w:rsidRPr="002A75B3">
        <w:rPr>
          <w:rFonts w:ascii="Calibri" w:hAnsi="Calibri" w:cs="Tahoma"/>
          <w:color w:val="000000"/>
        </w:rPr>
        <w:t xml:space="preserve"> </w:t>
      </w:r>
      <w:r w:rsidR="003748FC">
        <w:rPr>
          <w:rFonts w:ascii="Calibri" w:hAnsi="Calibri" w:cs="Tahoma"/>
          <w:color w:val="000000"/>
        </w:rPr>
        <w:t xml:space="preserve">As such, the references to the </w:t>
      </w:r>
      <w:r w:rsidRPr="002A75B3">
        <w:rPr>
          <w:rFonts w:ascii="Calibri" w:hAnsi="Calibri" w:cs="Tahoma"/>
          <w:color w:val="000000"/>
        </w:rPr>
        <w:t xml:space="preserve">largest BES </w:t>
      </w:r>
      <w:r w:rsidRPr="002A75B3">
        <w:rPr>
          <w:rFonts w:ascii="Calibri" w:hAnsi="Calibri" w:cs="Tahoma"/>
          <w:color w:val="000000"/>
        </w:rPr>
        <w:lastRenderedPageBreak/>
        <w:t>generating unit within the Balancing Autho</w:t>
      </w:r>
      <w:r w:rsidR="0048684D">
        <w:rPr>
          <w:rFonts w:ascii="Calibri" w:hAnsi="Calibri" w:cs="Tahoma"/>
          <w:color w:val="000000"/>
        </w:rPr>
        <w:t>rity Area</w:t>
      </w:r>
      <w:r w:rsidR="00C65842">
        <w:rPr>
          <w:rFonts w:ascii="Calibri" w:hAnsi="Calibri" w:cs="Tahoma"/>
          <w:color w:val="000000"/>
        </w:rPr>
        <w:t xml:space="preserve"> were changed to the </w:t>
      </w:r>
      <w:r w:rsidRPr="002A75B3">
        <w:rPr>
          <w:rFonts w:ascii="Calibri" w:hAnsi="Calibri" w:cs="Tahoma"/>
          <w:color w:val="000000"/>
        </w:rPr>
        <w:t xml:space="preserve">largest BES generating unit within the Balancing Authority Area or, </w:t>
      </w:r>
      <w:r w:rsidR="00831B63" w:rsidRPr="00C527F9">
        <w:rPr>
          <w:rFonts w:asciiTheme="minorHAnsi" w:hAnsiTheme="minorHAnsi"/>
        </w:rPr>
        <w:t xml:space="preserve">if a member of a </w:t>
      </w:r>
      <w:r w:rsidR="00AD07DE">
        <w:rPr>
          <w:rFonts w:asciiTheme="minorHAnsi" w:hAnsiTheme="minorHAnsi"/>
        </w:rPr>
        <w:t>RSG</w:t>
      </w:r>
      <w:r w:rsidR="00831B63">
        <w:rPr>
          <w:rFonts w:asciiTheme="minorHAnsi" w:hAnsiTheme="minorHAnsi"/>
        </w:rPr>
        <w:t xml:space="preserve">, the largest generating unit within the </w:t>
      </w:r>
      <w:r w:rsidR="00AD07DE">
        <w:rPr>
          <w:rFonts w:asciiTheme="minorHAnsi" w:hAnsiTheme="minorHAnsi"/>
        </w:rPr>
        <w:t>RSG</w:t>
      </w:r>
      <w:r w:rsidR="00831B63" w:rsidRPr="00280C1F">
        <w:rPr>
          <w:rFonts w:asciiTheme="minorHAnsi" w:hAnsiTheme="minorHAnsi"/>
        </w:rPr>
        <w:t>.</w:t>
      </w:r>
      <w:r w:rsidR="008D7C36">
        <w:rPr>
          <w:rFonts w:asciiTheme="minorHAnsi" w:hAnsiTheme="minorHAnsi"/>
        </w:rPr>
        <w:t xml:space="preserve"> Additionally, a footnote has been added to advise that the entity’s PSMP needs to remain current regarding the applicability of Automatic Reclosing Components relative to the largest generating unit within the Balancing Authority Area or </w:t>
      </w:r>
      <w:r w:rsidR="00AD07DE">
        <w:rPr>
          <w:rFonts w:asciiTheme="minorHAnsi" w:hAnsiTheme="minorHAnsi"/>
        </w:rPr>
        <w:t>RSG</w:t>
      </w:r>
      <w:r w:rsidR="008D7C36">
        <w:rPr>
          <w:rFonts w:asciiTheme="minorHAnsi" w:hAnsiTheme="minorHAnsi"/>
        </w:rPr>
        <w:t xml:space="preserve">. </w:t>
      </w:r>
    </w:p>
    <w:p w14:paraId="7988B7B8" w14:textId="1F24B949" w:rsidR="00C65842" w:rsidRPr="003C3994" w:rsidRDefault="003C3994" w:rsidP="003C3994">
      <w:pPr>
        <w:pStyle w:val="ListParagraph"/>
        <w:numPr>
          <w:ilvl w:val="0"/>
          <w:numId w:val="30"/>
        </w:numPr>
        <w:spacing w:before="120"/>
        <w:contextualSpacing w:val="0"/>
        <w:rPr>
          <w:rFonts w:asciiTheme="minorHAnsi" w:hAnsiTheme="minorHAnsi" w:cs="Tahoma"/>
        </w:rPr>
      </w:pPr>
      <w:r w:rsidRPr="003C3994">
        <w:rPr>
          <w:rFonts w:asciiTheme="minorHAnsi" w:hAnsiTheme="minorHAnsi"/>
        </w:rPr>
        <w:t>In the last posting, the</w:t>
      </w:r>
      <w:r w:rsidRPr="003C3994">
        <w:rPr>
          <w:rFonts w:asciiTheme="minorHAnsi" w:hAnsiTheme="minorHAnsi"/>
          <w:b/>
          <w:bCs/>
        </w:rPr>
        <w:t xml:space="preserve"> </w:t>
      </w:r>
      <w:r w:rsidRPr="003C3994">
        <w:rPr>
          <w:rFonts w:asciiTheme="minorHAnsi" w:hAnsiTheme="minorHAnsi"/>
        </w:rPr>
        <w:t xml:space="preserve">SDT included language in the standard that required completion of maintenance activities within three years for newly-identified Automatic Reclosing Components following a notification under Requirement R6, which has been removed. After further discussion, the SDT determined that a separate shorter timeframe for maintenance of newly-identified Automatic Reclosing Components created unnecessary complication within the standard. The SDT </w:t>
      </w:r>
      <w:r w:rsidR="00605DD2">
        <w:rPr>
          <w:rFonts w:asciiTheme="minorHAnsi" w:hAnsiTheme="minorHAnsi"/>
        </w:rPr>
        <w:t>determined</w:t>
      </w:r>
      <w:r w:rsidR="00B14603">
        <w:rPr>
          <w:rFonts w:asciiTheme="minorHAnsi" w:hAnsiTheme="minorHAnsi"/>
        </w:rPr>
        <w:t xml:space="preserve"> that entities should maintain </w:t>
      </w:r>
      <w:r w:rsidRPr="003C3994">
        <w:rPr>
          <w:rFonts w:asciiTheme="minorHAnsi" w:hAnsiTheme="minorHAnsi"/>
        </w:rPr>
        <w:t>Automatic Reclosing Components subject to the standard, according to the timeframes in the maintena</w:t>
      </w:r>
      <w:r w:rsidR="00B14603">
        <w:rPr>
          <w:rFonts w:asciiTheme="minorHAnsi" w:hAnsiTheme="minorHAnsi"/>
        </w:rPr>
        <w:t xml:space="preserve">nce tables. Therefore, </w:t>
      </w:r>
      <w:r w:rsidR="00A31153">
        <w:rPr>
          <w:rFonts w:asciiTheme="minorHAnsi" w:hAnsiTheme="minorHAnsi"/>
        </w:rPr>
        <w:t xml:space="preserve">Part </w:t>
      </w:r>
      <w:r w:rsidR="00B14603">
        <w:rPr>
          <w:rFonts w:asciiTheme="minorHAnsi" w:hAnsiTheme="minorHAnsi"/>
        </w:rPr>
        <w:t xml:space="preserve">3.1, </w:t>
      </w:r>
      <w:r w:rsidR="00A31153">
        <w:rPr>
          <w:rFonts w:asciiTheme="minorHAnsi" w:hAnsiTheme="minorHAnsi"/>
        </w:rPr>
        <w:t xml:space="preserve">Part </w:t>
      </w:r>
      <w:r w:rsidR="00B14603">
        <w:rPr>
          <w:rFonts w:asciiTheme="minorHAnsi" w:hAnsiTheme="minorHAnsi"/>
        </w:rPr>
        <w:t>4.1, and their subparts</w:t>
      </w:r>
      <w:r w:rsidRPr="003C3994">
        <w:rPr>
          <w:rFonts w:asciiTheme="minorHAnsi" w:hAnsiTheme="minorHAnsi"/>
        </w:rPr>
        <w:t xml:space="preserve"> have been removed. </w:t>
      </w:r>
    </w:p>
    <w:p w14:paraId="2E91AD26" w14:textId="77777777" w:rsidR="003C3994" w:rsidRPr="003C3994" w:rsidRDefault="003C3994" w:rsidP="003C3994">
      <w:pPr>
        <w:ind w:left="360"/>
        <w:rPr>
          <w:rFonts w:ascii="Calibri" w:hAnsi="Calibri" w:cs="Tahoma"/>
          <w:color w:val="000000"/>
        </w:rPr>
      </w:pPr>
    </w:p>
    <w:p w14:paraId="728BD5CA" w14:textId="1AF3FEBA" w:rsidR="00C65842" w:rsidRPr="00C65842" w:rsidRDefault="00A518B1" w:rsidP="00C65842">
      <w:pPr>
        <w:rPr>
          <w:rFonts w:ascii="Calibri" w:hAnsi="Calibri" w:cs="Tahoma"/>
          <w:color w:val="000000"/>
        </w:rPr>
      </w:pPr>
      <w:r>
        <w:rPr>
          <w:rFonts w:ascii="Calibri" w:hAnsi="Calibri" w:cs="Tahoma"/>
          <w:color w:val="000000"/>
        </w:rPr>
        <w:t>Several smaller additions/</w:t>
      </w:r>
      <w:r w:rsidR="00C65842" w:rsidRPr="00C65842">
        <w:rPr>
          <w:rFonts w:ascii="Calibri" w:hAnsi="Calibri" w:cs="Tahoma"/>
          <w:color w:val="000000"/>
        </w:rPr>
        <w:t>changes were made including the following:</w:t>
      </w:r>
    </w:p>
    <w:p w14:paraId="24F1150F" w14:textId="5481178A" w:rsidR="00C65842" w:rsidRDefault="00C65842" w:rsidP="00C65842">
      <w:pPr>
        <w:pStyle w:val="ListParagraph"/>
        <w:numPr>
          <w:ilvl w:val="0"/>
          <w:numId w:val="32"/>
        </w:numPr>
        <w:spacing w:before="120"/>
        <w:contextualSpacing w:val="0"/>
        <w:rPr>
          <w:rFonts w:ascii="Calibri" w:hAnsi="Calibri" w:cs="Tahoma"/>
          <w:color w:val="000000"/>
        </w:rPr>
      </w:pPr>
      <w:r w:rsidRPr="002A75B3">
        <w:rPr>
          <w:rFonts w:ascii="Calibri" w:hAnsi="Calibri" w:cs="Tahoma"/>
          <w:color w:val="000000"/>
        </w:rPr>
        <w:t xml:space="preserve">Sudden Pressure Relaying was added to </w:t>
      </w:r>
      <w:r w:rsidR="00C36F44">
        <w:rPr>
          <w:rFonts w:ascii="Calibri" w:hAnsi="Calibri" w:cs="Tahoma"/>
          <w:color w:val="000000"/>
        </w:rPr>
        <w:t>Facilities Section</w:t>
      </w:r>
      <w:r w:rsidRPr="002A75B3">
        <w:rPr>
          <w:rFonts w:ascii="Calibri" w:hAnsi="Calibri" w:cs="Tahoma"/>
          <w:color w:val="000000"/>
        </w:rPr>
        <w:t xml:space="preserve"> 4.2.5.3</w:t>
      </w:r>
      <w:r>
        <w:rPr>
          <w:rFonts w:ascii="Calibri" w:hAnsi="Calibri" w:cs="Tahoma"/>
          <w:color w:val="000000"/>
        </w:rPr>
        <w:t>.</w:t>
      </w:r>
    </w:p>
    <w:p w14:paraId="53D5946B" w14:textId="1D7FD394" w:rsidR="00C65842" w:rsidRDefault="00C65842" w:rsidP="00C65842">
      <w:pPr>
        <w:pStyle w:val="ListParagraph"/>
        <w:numPr>
          <w:ilvl w:val="0"/>
          <w:numId w:val="32"/>
        </w:numPr>
        <w:spacing w:before="120"/>
        <w:contextualSpacing w:val="0"/>
        <w:rPr>
          <w:rFonts w:ascii="Calibri" w:hAnsi="Calibri" w:cs="Tahoma"/>
          <w:color w:val="000000"/>
        </w:rPr>
      </w:pPr>
      <w:r w:rsidRPr="002A75B3">
        <w:rPr>
          <w:rFonts w:ascii="Calibri" w:hAnsi="Calibri" w:cs="Tahoma"/>
          <w:color w:val="000000"/>
        </w:rPr>
        <w:t xml:space="preserve">Several references </w:t>
      </w:r>
      <w:r w:rsidR="00A518B1">
        <w:rPr>
          <w:rFonts w:ascii="Calibri" w:hAnsi="Calibri" w:cs="Tahoma"/>
          <w:color w:val="000000"/>
        </w:rPr>
        <w:t xml:space="preserve">of </w:t>
      </w:r>
      <w:r w:rsidRPr="002A75B3">
        <w:rPr>
          <w:rFonts w:ascii="Calibri" w:hAnsi="Calibri" w:cs="Tahoma"/>
          <w:color w:val="000000"/>
        </w:rPr>
        <w:t xml:space="preserve">Section 4.2.7 were corrected to 4.2.6 since the Applicability section does not contain a Section 4.2.7. </w:t>
      </w:r>
    </w:p>
    <w:p w14:paraId="2DDF067E" w14:textId="365E9928" w:rsidR="00C65842" w:rsidRDefault="00C65842" w:rsidP="00C65842">
      <w:pPr>
        <w:pStyle w:val="ListParagraph"/>
        <w:numPr>
          <w:ilvl w:val="0"/>
          <w:numId w:val="32"/>
        </w:numPr>
        <w:spacing w:before="120"/>
        <w:contextualSpacing w:val="0"/>
        <w:rPr>
          <w:rFonts w:ascii="Calibri" w:hAnsi="Calibri" w:cs="Tahoma"/>
          <w:color w:val="000000"/>
        </w:rPr>
      </w:pPr>
      <w:r w:rsidRPr="002A75B3">
        <w:rPr>
          <w:rFonts w:ascii="Calibri" w:hAnsi="Calibri" w:cs="Tahoma"/>
          <w:color w:val="000000"/>
        </w:rPr>
        <w:t xml:space="preserve">The Evidence Retention section for </w:t>
      </w:r>
      <w:r>
        <w:rPr>
          <w:rFonts w:ascii="Calibri" w:hAnsi="Calibri" w:cs="Tahoma"/>
          <w:color w:val="000000"/>
        </w:rPr>
        <w:t xml:space="preserve">Requirement </w:t>
      </w:r>
      <w:r w:rsidRPr="002A75B3">
        <w:rPr>
          <w:rFonts w:ascii="Calibri" w:hAnsi="Calibri" w:cs="Tahoma"/>
          <w:color w:val="000000"/>
        </w:rPr>
        <w:t xml:space="preserve">R2 was modified to include two </w:t>
      </w:r>
      <w:r w:rsidR="00DF2751">
        <w:rPr>
          <w:rFonts w:ascii="Calibri" w:hAnsi="Calibri" w:cs="Tahoma"/>
          <w:color w:val="000000"/>
        </w:rPr>
        <w:t xml:space="preserve">different </w:t>
      </w:r>
      <w:r w:rsidR="00A518B1">
        <w:rPr>
          <w:rFonts w:ascii="Calibri" w:hAnsi="Calibri" w:cs="Tahoma"/>
          <w:color w:val="000000"/>
        </w:rPr>
        <w:t>scenarios as follows: “</w:t>
      </w:r>
      <w:r w:rsidRPr="002A75B3">
        <w:rPr>
          <w:rFonts w:ascii="Calibri" w:hAnsi="Calibri" w:cs="Tahoma"/>
          <w:color w:val="000000"/>
        </w:rPr>
        <w:t>in cases where the interval of the maintenance activity is longer than the audit cycle</w:t>
      </w:r>
      <w:r>
        <w:rPr>
          <w:rFonts w:ascii="Calibri" w:hAnsi="Calibri" w:cs="Tahoma"/>
          <w:color w:val="000000"/>
        </w:rPr>
        <w:t>,</w:t>
      </w:r>
      <w:r w:rsidRPr="002A75B3">
        <w:rPr>
          <w:rFonts w:ascii="Calibri" w:hAnsi="Calibri" w:cs="Tahoma"/>
          <w:color w:val="000000"/>
        </w:rPr>
        <w:t xml:space="preserve"> and ‘In cases where the interval of the maintenance activity i</w:t>
      </w:r>
      <w:r w:rsidR="00A518B1">
        <w:rPr>
          <w:rFonts w:ascii="Calibri" w:hAnsi="Calibri" w:cs="Tahoma"/>
          <w:color w:val="000000"/>
        </w:rPr>
        <w:t>s shorter than the audit cycle.”</w:t>
      </w:r>
    </w:p>
    <w:p w14:paraId="50EB7E39" w14:textId="77777777" w:rsidR="00C65842" w:rsidRDefault="00C65842" w:rsidP="00C65842">
      <w:pPr>
        <w:pStyle w:val="ListParagraph"/>
        <w:numPr>
          <w:ilvl w:val="0"/>
          <w:numId w:val="32"/>
        </w:numPr>
        <w:spacing w:before="120"/>
        <w:contextualSpacing w:val="0"/>
        <w:rPr>
          <w:rFonts w:ascii="Calibri" w:hAnsi="Calibri" w:cs="Tahoma"/>
          <w:color w:val="000000"/>
        </w:rPr>
      </w:pPr>
      <w:r w:rsidRPr="002A75B3">
        <w:rPr>
          <w:rFonts w:ascii="Calibri" w:hAnsi="Calibri" w:cs="Tahoma"/>
          <w:color w:val="000000"/>
        </w:rPr>
        <w:t>The SDT made changes to the Supplementary Reference and FAQ Document to reflect the changes in the Standard.</w:t>
      </w:r>
    </w:p>
    <w:p w14:paraId="26BE55D8" w14:textId="1E30F806" w:rsidR="00605DD2" w:rsidRPr="002A75B3" w:rsidRDefault="00605DD2" w:rsidP="00C65842">
      <w:pPr>
        <w:pStyle w:val="ListParagraph"/>
        <w:numPr>
          <w:ilvl w:val="0"/>
          <w:numId w:val="32"/>
        </w:numPr>
        <w:spacing w:before="120"/>
        <w:contextualSpacing w:val="0"/>
        <w:rPr>
          <w:rFonts w:ascii="Calibri" w:hAnsi="Calibri" w:cs="Tahoma"/>
          <w:color w:val="000000"/>
        </w:rPr>
      </w:pPr>
      <w:r w:rsidRPr="002A75B3">
        <w:rPr>
          <w:rFonts w:ascii="Calibri" w:hAnsi="Calibri" w:cs="Tahoma"/>
          <w:color w:val="000000"/>
        </w:rPr>
        <w:t>References to Spe</w:t>
      </w:r>
      <w:r>
        <w:rPr>
          <w:rFonts w:ascii="Calibri" w:hAnsi="Calibri" w:cs="Tahoma"/>
          <w:color w:val="000000"/>
        </w:rPr>
        <w:t>cial Protection System (SPS) were</w:t>
      </w:r>
      <w:r w:rsidRPr="002A75B3">
        <w:rPr>
          <w:rFonts w:ascii="Calibri" w:hAnsi="Calibri" w:cs="Tahoma"/>
          <w:color w:val="000000"/>
        </w:rPr>
        <w:t xml:space="preserve"> changed to reference Remedial Action Scheme (RAS) due to the fact that the SDT addressing this issue has proposed that terminology for future use</w:t>
      </w:r>
      <w:r>
        <w:rPr>
          <w:rFonts w:ascii="Calibri" w:hAnsi="Calibri" w:cs="Tahoma"/>
          <w:color w:val="000000"/>
        </w:rPr>
        <w:t>.</w:t>
      </w:r>
    </w:p>
    <w:p w14:paraId="512980E1" w14:textId="77777777" w:rsidR="00667B65" w:rsidRDefault="00667B65">
      <w:r>
        <w:br w:type="page"/>
      </w:r>
    </w:p>
    <w:p w14:paraId="404229EE" w14:textId="77777777" w:rsidR="0039275D" w:rsidRDefault="0073546A" w:rsidP="00102A01">
      <w:pPr>
        <w:pStyle w:val="Heading2"/>
      </w:pPr>
      <w:r>
        <w:lastRenderedPageBreak/>
        <w:t>Question</w:t>
      </w:r>
    </w:p>
    <w:p w14:paraId="454F6268" w14:textId="77777777" w:rsidR="00575783" w:rsidRPr="00074057" w:rsidRDefault="00575783" w:rsidP="00575783"/>
    <w:p w14:paraId="117F0C8C" w14:textId="77D3A284" w:rsidR="005D4CF7" w:rsidRPr="00074057" w:rsidRDefault="005D4CF7" w:rsidP="005D4CF7">
      <w:pPr>
        <w:pStyle w:val="ListParagraph"/>
        <w:keepNext/>
        <w:numPr>
          <w:ilvl w:val="0"/>
          <w:numId w:val="25"/>
        </w:numPr>
        <w:ind w:left="360"/>
        <w:rPr>
          <w:rFonts w:asciiTheme="minorHAnsi" w:hAnsiTheme="minorHAnsi"/>
        </w:rPr>
      </w:pPr>
      <w:r w:rsidRPr="00074057">
        <w:rPr>
          <w:rFonts w:asciiTheme="minorHAnsi" w:hAnsiTheme="minorHAnsi"/>
        </w:rPr>
        <w:t xml:space="preserve">Do you </w:t>
      </w:r>
      <w:r w:rsidR="00605DD2">
        <w:rPr>
          <w:rFonts w:asciiTheme="minorHAnsi" w:hAnsiTheme="minorHAnsi"/>
        </w:rPr>
        <w:t xml:space="preserve">agree with </w:t>
      </w:r>
      <w:r w:rsidRPr="00074057">
        <w:rPr>
          <w:rFonts w:asciiTheme="minorHAnsi" w:hAnsiTheme="minorHAnsi"/>
        </w:rPr>
        <w:t xml:space="preserve">the </w:t>
      </w:r>
      <w:r>
        <w:rPr>
          <w:rFonts w:asciiTheme="minorHAnsi" w:hAnsiTheme="minorHAnsi"/>
        </w:rPr>
        <w:t>removal</w:t>
      </w:r>
      <w:r w:rsidRPr="00074057">
        <w:rPr>
          <w:rFonts w:asciiTheme="minorHAnsi" w:hAnsiTheme="minorHAnsi"/>
        </w:rPr>
        <w:t xml:space="preserve"> of </w:t>
      </w:r>
      <w:r w:rsidR="00F338B6">
        <w:rPr>
          <w:rFonts w:asciiTheme="minorHAnsi" w:hAnsiTheme="minorHAnsi"/>
        </w:rPr>
        <w:t>Requirement R6 from</w:t>
      </w:r>
      <w:r w:rsidRPr="00074057">
        <w:rPr>
          <w:rFonts w:asciiTheme="minorHAnsi" w:hAnsiTheme="minorHAnsi"/>
        </w:rPr>
        <w:t xml:space="preserve"> PRC-005-X?</w:t>
      </w:r>
      <w:r w:rsidR="00605DD2">
        <w:rPr>
          <w:rFonts w:asciiTheme="minorHAnsi" w:hAnsiTheme="minorHAnsi"/>
        </w:rPr>
        <w:t xml:space="preserve"> If no, please provide comments.</w:t>
      </w:r>
    </w:p>
    <w:p w14:paraId="52110564" w14:textId="77777777" w:rsidR="00F006EF" w:rsidRPr="00074057" w:rsidRDefault="00F006EF" w:rsidP="0073546A">
      <w:pPr>
        <w:keepNext/>
      </w:pPr>
    </w:p>
    <w:p w14:paraId="72089F72" w14:textId="77777777" w:rsidR="0073546A" w:rsidRPr="00074057" w:rsidRDefault="007A61C6" w:rsidP="0073546A">
      <w:pPr>
        <w:keepNext/>
      </w:pPr>
      <w:r w:rsidRPr="00074057">
        <w:fldChar w:fldCharType="begin">
          <w:ffData>
            <w:name w:val="Check4"/>
            <w:enabled/>
            <w:calcOnExit w:val="0"/>
            <w:checkBox>
              <w:sizeAuto/>
              <w:default w:val="0"/>
            </w:checkBox>
          </w:ffData>
        </w:fldChar>
      </w:r>
      <w:r w:rsidR="0073546A" w:rsidRPr="00074057">
        <w:instrText xml:space="preserve"> FORMCHECKBOX </w:instrText>
      </w:r>
      <w:r w:rsidR="00090263">
        <w:fldChar w:fldCharType="separate"/>
      </w:r>
      <w:r w:rsidRPr="00074057">
        <w:fldChar w:fldCharType="end"/>
      </w:r>
      <w:r w:rsidR="0073546A" w:rsidRPr="00074057">
        <w:t xml:space="preserve"> Yes </w:t>
      </w:r>
    </w:p>
    <w:p w14:paraId="4FD9DB9D" w14:textId="77777777" w:rsidR="0073546A" w:rsidRPr="00074057" w:rsidRDefault="007A61C6" w:rsidP="0073546A">
      <w:pPr>
        <w:keepNext/>
      </w:pPr>
      <w:r w:rsidRPr="00074057">
        <w:fldChar w:fldCharType="begin">
          <w:ffData>
            <w:name w:val="Check4"/>
            <w:enabled/>
            <w:calcOnExit w:val="0"/>
            <w:checkBox>
              <w:sizeAuto/>
              <w:default w:val="0"/>
            </w:checkBox>
          </w:ffData>
        </w:fldChar>
      </w:r>
      <w:r w:rsidR="0073546A" w:rsidRPr="00074057">
        <w:instrText xml:space="preserve"> FORMCHECKBOX </w:instrText>
      </w:r>
      <w:r w:rsidR="00090263">
        <w:fldChar w:fldCharType="separate"/>
      </w:r>
      <w:r w:rsidRPr="00074057">
        <w:fldChar w:fldCharType="end"/>
      </w:r>
      <w:r w:rsidR="0073546A" w:rsidRPr="00074057">
        <w:t xml:space="preserve"> No </w:t>
      </w:r>
    </w:p>
    <w:p w14:paraId="73CAF1F8" w14:textId="77777777" w:rsidR="00D9120D" w:rsidRPr="00074057" w:rsidRDefault="00D9120D" w:rsidP="0073546A">
      <w:pPr>
        <w:keepNext/>
      </w:pPr>
    </w:p>
    <w:p w14:paraId="4BB1B26D" w14:textId="77777777" w:rsidR="0073546A" w:rsidRPr="00074057" w:rsidRDefault="0073546A" w:rsidP="0073546A">
      <w:r w:rsidRPr="00074057">
        <w:t xml:space="preserve">Comments: </w:t>
      </w:r>
      <w:r w:rsidR="007A61C6" w:rsidRPr="00074057">
        <w:fldChar w:fldCharType="begin">
          <w:ffData>
            <w:name w:val="Text12"/>
            <w:enabled/>
            <w:calcOnExit w:val="0"/>
            <w:textInput/>
          </w:ffData>
        </w:fldChar>
      </w:r>
      <w:r w:rsidRPr="00074057">
        <w:instrText xml:space="preserve"> FORMTEXT </w:instrText>
      </w:r>
      <w:r w:rsidR="007A61C6" w:rsidRPr="00074057">
        <w:fldChar w:fldCharType="separate"/>
      </w:r>
      <w:r w:rsidRPr="00074057">
        <w:t> </w:t>
      </w:r>
      <w:r w:rsidRPr="00074057">
        <w:t> </w:t>
      </w:r>
      <w:r w:rsidRPr="00074057">
        <w:t> </w:t>
      </w:r>
      <w:r w:rsidRPr="00074057">
        <w:t> </w:t>
      </w:r>
      <w:r w:rsidRPr="00074057">
        <w:t> </w:t>
      </w:r>
      <w:r w:rsidR="007A61C6" w:rsidRPr="00074057">
        <w:fldChar w:fldCharType="end"/>
      </w:r>
    </w:p>
    <w:p w14:paraId="7B16D8D5" w14:textId="77777777" w:rsidR="0073546A" w:rsidRDefault="0073546A" w:rsidP="0073546A"/>
    <w:p w14:paraId="78F6EE79" w14:textId="4FBEDE4F" w:rsidR="00F338B6" w:rsidRPr="00074057" w:rsidRDefault="00F338B6" w:rsidP="00F338B6">
      <w:pPr>
        <w:pStyle w:val="ListParagraph"/>
        <w:keepNext/>
        <w:numPr>
          <w:ilvl w:val="0"/>
          <w:numId w:val="25"/>
        </w:numPr>
        <w:ind w:left="360"/>
        <w:rPr>
          <w:rFonts w:asciiTheme="minorHAnsi" w:hAnsiTheme="minorHAnsi"/>
        </w:rPr>
      </w:pPr>
      <w:r w:rsidRPr="00074057">
        <w:rPr>
          <w:rFonts w:asciiTheme="minorHAnsi" w:hAnsiTheme="minorHAnsi"/>
        </w:rPr>
        <w:t xml:space="preserve">Do </w:t>
      </w:r>
      <w:r w:rsidR="00605DD2">
        <w:rPr>
          <w:rFonts w:asciiTheme="minorHAnsi" w:hAnsiTheme="minorHAnsi"/>
        </w:rPr>
        <w:t>you agree with the</w:t>
      </w:r>
      <w:r w:rsidRPr="00074057">
        <w:rPr>
          <w:rFonts w:asciiTheme="minorHAnsi" w:hAnsiTheme="minorHAnsi"/>
        </w:rPr>
        <w:t xml:space="preserve"> </w:t>
      </w:r>
      <w:r w:rsidR="00CE3F12">
        <w:rPr>
          <w:rFonts w:asciiTheme="minorHAnsi" w:hAnsiTheme="minorHAnsi"/>
        </w:rPr>
        <w:t>c</w:t>
      </w:r>
      <w:r>
        <w:rPr>
          <w:rFonts w:asciiTheme="minorHAnsi" w:hAnsiTheme="minorHAnsi"/>
        </w:rPr>
        <w:t xml:space="preserve">hanges </w:t>
      </w:r>
      <w:r w:rsidR="00605DD2">
        <w:rPr>
          <w:rFonts w:asciiTheme="minorHAnsi" w:hAnsiTheme="minorHAnsi"/>
        </w:rPr>
        <w:t xml:space="preserve">made </w:t>
      </w:r>
      <w:r>
        <w:rPr>
          <w:rFonts w:asciiTheme="minorHAnsi" w:hAnsiTheme="minorHAnsi"/>
        </w:rPr>
        <w:t>to Table 5?</w:t>
      </w:r>
      <w:r w:rsidR="00605DD2">
        <w:rPr>
          <w:rFonts w:asciiTheme="minorHAnsi" w:hAnsiTheme="minorHAnsi"/>
        </w:rPr>
        <w:t xml:space="preserve"> If no, please provide comments. </w:t>
      </w:r>
    </w:p>
    <w:p w14:paraId="34279444" w14:textId="77777777" w:rsidR="00F338B6" w:rsidRPr="00074057" w:rsidRDefault="00F338B6" w:rsidP="00F338B6">
      <w:pPr>
        <w:keepNext/>
      </w:pPr>
    </w:p>
    <w:p w14:paraId="6D6FB55D" w14:textId="77777777" w:rsidR="00F338B6" w:rsidRPr="00074057" w:rsidRDefault="00F338B6" w:rsidP="00F338B6">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Yes </w:t>
      </w:r>
    </w:p>
    <w:p w14:paraId="718DA79E" w14:textId="77777777" w:rsidR="00F338B6" w:rsidRPr="00074057" w:rsidRDefault="00F338B6" w:rsidP="00F338B6">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No </w:t>
      </w:r>
    </w:p>
    <w:p w14:paraId="62645BE5" w14:textId="77777777" w:rsidR="00F338B6" w:rsidRPr="00074057" w:rsidRDefault="00F338B6" w:rsidP="00F338B6">
      <w:pPr>
        <w:keepNext/>
      </w:pPr>
    </w:p>
    <w:p w14:paraId="3F265801" w14:textId="77777777" w:rsidR="00F338B6" w:rsidRPr="00074057" w:rsidRDefault="00F338B6" w:rsidP="00F338B6">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14:paraId="7F1C3A56" w14:textId="77777777" w:rsidR="00F338B6" w:rsidRPr="00074057" w:rsidRDefault="00F338B6" w:rsidP="0073546A"/>
    <w:p w14:paraId="0020851E" w14:textId="785677D3" w:rsidR="00F338B6" w:rsidRPr="00074057" w:rsidRDefault="00F338B6" w:rsidP="00F338B6">
      <w:pPr>
        <w:pStyle w:val="ListParagraph"/>
        <w:keepNext/>
        <w:numPr>
          <w:ilvl w:val="0"/>
          <w:numId w:val="25"/>
        </w:numPr>
        <w:ind w:left="360"/>
        <w:rPr>
          <w:rFonts w:asciiTheme="minorHAnsi" w:hAnsiTheme="minorHAnsi"/>
        </w:rPr>
      </w:pPr>
      <w:r w:rsidRPr="00074057">
        <w:rPr>
          <w:rFonts w:asciiTheme="minorHAnsi" w:hAnsiTheme="minorHAnsi"/>
        </w:rPr>
        <w:t xml:space="preserve">Do you </w:t>
      </w:r>
      <w:r w:rsidR="00605DD2">
        <w:rPr>
          <w:rFonts w:asciiTheme="minorHAnsi" w:hAnsiTheme="minorHAnsi"/>
        </w:rPr>
        <w:t>agree with the</w:t>
      </w:r>
      <w:r w:rsidRPr="00074057">
        <w:rPr>
          <w:rFonts w:asciiTheme="minorHAnsi" w:hAnsiTheme="minorHAnsi"/>
        </w:rPr>
        <w:t xml:space="preserve"> change</w:t>
      </w:r>
      <w:r w:rsidR="00C804BD">
        <w:rPr>
          <w:rFonts w:asciiTheme="minorHAnsi" w:hAnsiTheme="minorHAnsi"/>
        </w:rPr>
        <w:t>s</w:t>
      </w:r>
      <w:r w:rsidRPr="00074057">
        <w:rPr>
          <w:rFonts w:asciiTheme="minorHAnsi" w:hAnsiTheme="minorHAnsi"/>
        </w:rPr>
        <w:t xml:space="preserve"> </w:t>
      </w:r>
      <w:r w:rsidR="00605DD2">
        <w:rPr>
          <w:rFonts w:asciiTheme="minorHAnsi" w:hAnsiTheme="minorHAnsi"/>
        </w:rPr>
        <w:t xml:space="preserve">made </w:t>
      </w:r>
      <w:r w:rsidR="00BF162A">
        <w:rPr>
          <w:rFonts w:asciiTheme="minorHAnsi" w:hAnsiTheme="minorHAnsi"/>
        </w:rPr>
        <w:t>to</w:t>
      </w:r>
      <w:r w:rsidR="007D5248">
        <w:rPr>
          <w:rFonts w:asciiTheme="minorHAnsi" w:hAnsiTheme="minorHAnsi"/>
        </w:rPr>
        <w:t xml:space="preserve"> the</w:t>
      </w:r>
      <w:r w:rsidRPr="00074057">
        <w:rPr>
          <w:rFonts w:asciiTheme="minorHAnsi" w:hAnsiTheme="minorHAnsi"/>
        </w:rPr>
        <w:t xml:space="preserve"> data retention</w:t>
      </w:r>
      <w:r w:rsidR="007D5248">
        <w:rPr>
          <w:rFonts w:asciiTheme="minorHAnsi" w:hAnsiTheme="minorHAnsi"/>
        </w:rPr>
        <w:t xml:space="preserve"> section</w:t>
      </w:r>
      <w:r w:rsidRPr="00074057">
        <w:rPr>
          <w:rFonts w:asciiTheme="minorHAnsi" w:hAnsiTheme="minorHAnsi"/>
        </w:rPr>
        <w:t xml:space="preserve"> </w:t>
      </w:r>
      <w:r w:rsidR="00BF162A">
        <w:rPr>
          <w:rFonts w:asciiTheme="minorHAnsi" w:hAnsiTheme="minorHAnsi"/>
        </w:rPr>
        <w:t>in</w:t>
      </w:r>
      <w:r w:rsidRPr="00074057">
        <w:rPr>
          <w:rFonts w:asciiTheme="minorHAnsi" w:hAnsiTheme="minorHAnsi"/>
        </w:rPr>
        <w:t xml:space="preserve"> PRC-005-X?</w:t>
      </w:r>
      <w:r w:rsidR="00605DD2">
        <w:rPr>
          <w:rFonts w:asciiTheme="minorHAnsi" w:hAnsiTheme="minorHAnsi"/>
        </w:rPr>
        <w:t xml:space="preserve"> If no, please provide comments. </w:t>
      </w:r>
    </w:p>
    <w:p w14:paraId="7A9F7A28" w14:textId="77777777" w:rsidR="00F338B6" w:rsidRPr="00074057" w:rsidRDefault="00F338B6" w:rsidP="00F338B6">
      <w:pPr>
        <w:keepNext/>
      </w:pPr>
    </w:p>
    <w:p w14:paraId="531E3B74" w14:textId="77777777" w:rsidR="00F338B6" w:rsidRPr="00074057" w:rsidRDefault="00F338B6" w:rsidP="00F338B6">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Yes </w:t>
      </w:r>
    </w:p>
    <w:p w14:paraId="49DBC128" w14:textId="77777777" w:rsidR="00F338B6" w:rsidRPr="00074057" w:rsidRDefault="00F338B6" w:rsidP="00F338B6">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No </w:t>
      </w:r>
    </w:p>
    <w:p w14:paraId="0E8E0A94" w14:textId="77777777" w:rsidR="00F338B6" w:rsidRPr="00074057" w:rsidRDefault="00F338B6" w:rsidP="00F338B6">
      <w:pPr>
        <w:keepNext/>
      </w:pPr>
    </w:p>
    <w:p w14:paraId="6C832B3E" w14:textId="7F1EEBD2" w:rsidR="00BF162A" w:rsidRDefault="00F338B6" w:rsidP="00F338B6">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14:paraId="6049D2B2" w14:textId="77777777" w:rsidR="00BF162A" w:rsidRPr="00074057" w:rsidRDefault="00BF162A" w:rsidP="00F338B6"/>
    <w:p w14:paraId="4B0B8C1A" w14:textId="56C2921A" w:rsidR="00BF162A" w:rsidRPr="00074057" w:rsidRDefault="00BF162A" w:rsidP="00BF162A">
      <w:pPr>
        <w:pStyle w:val="ListParagraph"/>
        <w:keepNext/>
        <w:numPr>
          <w:ilvl w:val="0"/>
          <w:numId w:val="25"/>
        </w:numPr>
        <w:ind w:left="360"/>
        <w:rPr>
          <w:rFonts w:asciiTheme="minorHAnsi" w:hAnsiTheme="minorHAnsi"/>
        </w:rPr>
      </w:pPr>
      <w:r w:rsidRPr="00074057">
        <w:rPr>
          <w:rFonts w:asciiTheme="minorHAnsi" w:hAnsiTheme="minorHAnsi"/>
        </w:rPr>
        <w:t xml:space="preserve">Do </w:t>
      </w:r>
      <w:r w:rsidR="00605DD2">
        <w:rPr>
          <w:rFonts w:asciiTheme="minorHAnsi" w:hAnsiTheme="minorHAnsi"/>
        </w:rPr>
        <w:t>you agree with the</w:t>
      </w:r>
      <w:r>
        <w:rPr>
          <w:rFonts w:asciiTheme="minorHAnsi" w:hAnsiTheme="minorHAnsi"/>
        </w:rPr>
        <w:t xml:space="preserve"> deletions of the </w:t>
      </w:r>
      <w:r w:rsidR="00A72AF1">
        <w:rPr>
          <w:rFonts w:asciiTheme="minorHAnsi" w:hAnsiTheme="minorHAnsi"/>
        </w:rPr>
        <w:t xml:space="preserve">Parts and sub-parts from </w:t>
      </w:r>
      <w:r>
        <w:rPr>
          <w:rFonts w:asciiTheme="minorHAnsi" w:hAnsiTheme="minorHAnsi"/>
        </w:rPr>
        <w:t>Requirement R3 and Requirement R4?</w:t>
      </w:r>
      <w:r w:rsidRPr="00074057">
        <w:rPr>
          <w:rFonts w:asciiTheme="minorHAnsi" w:hAnsiTheme="minorHAnsi"/>
        </w:rPr>
        <w:t xml:space="preserve"> </w:t>
      </w:r>
      <w:r w:rsidR="00605DD2">
        <w:rPr>
          <w:rFonts w:asciiTheme="minorHAnsi" w:hAnsiTheme="minorHAnsi"/>
        </w:rPr>
        <w:t xml:space="preserve">If no, please provide comments. </w:t>
      </w:r>
    </w:p>
    <w:p w14:paraId="150A9059" w14:textId="77777777" w:rsidR="00BF162A" w:rsidRPr="00074057" w:rsidRDefault="00BF162A" w:rsidP="00BF162A">
      <w:pPr>
        <w:keepNext/>
      </w:pPr>
    </w:p>
    <w:p w14:paraId="51506412" w14:textId="77777777" w:rsidR="00BF162A" w:rsidRPr="00074057" w:rsidRDefault="00BF162A" w:rsidP="00BF162A">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Yes </w:t>
      </w:r>
    </w:p>
    <w:p w14:paraId="141BFA28" w14:textId="77777777" w:rsidR="00BF162A" w:rsidRPr="00074057" w:rsidRDefault="00BF162A" w:rsidP="00BF162A">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No </w:t>
      </w:r>
    </w:p>
    <w:p w14:paraId="10588E6D" w14:textId="77777777" w:rsidR="00BF162A" w:rsidRPr="00074057" w:rsidRDefault="00BF162A" w:rsidP="00BF162A">
      <w:pPr>
        <w:keepNext/>
      </w:pPr>
    </w:p>
    <w:p w14:paraId="305CA06C" w14:textId="77777777" w:rsidR="00BF162A" w:rsidRDefault="00BF162A" w:rsidP="00BF162A">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14:paraId="4E7F1BE9" w14:textId="77777777" w:rsidR="005D4CF7" w:rsidRDefault="005D4CF7" w:rsidP="00A80404"/>
    <w:p w14:paraId="7D5EA5FD" w14:textId="77777777" w:rsidR="00570E48" w:rsidRPr="00074057" w:rsidRDefault="00570E48" w:rsidP="00570E48">
      <w:pPr>
        <w:pStyle w:val="ListParagraph"/>
        <w:keepNext/>
        <w:numPr>
          <w:ilvl w:val="0"/>
          <w:numId w:val="25"/>
        </w:numPr>
        <w:ind w:left="360"/>
        <w:rPr>
          <w:rFonts w:asciiTheme="minorHAnsi" w:hAnsiTheme="minorHAnsi"/>
        </w:rPr>
      </w:pPr>
      <w:r w:rsidRPr="00074057">
        <w:rPr>
          <w:rFonts w:asciiTheme="minorHAnsi" w:hAnsiTheme="minorHAnsi"/>
        </w:rPr>
        <w:t xml:space="preserve">Do </w:t>
      </w:r>
      <w:r w:rsidR="00074057" w:rsidRPr="00074057">
        <w:rPr>
          <w:rFonts w:asciiTheme="minorHAnsi" w:hAnsiTheme="minorHAnsi"/>
        </w:rPr>
        <w:t>you have any comments regarding the changes made to the Supplementary Reference and FAQ Document to reflect the changes to PRC-005-X?</w:t>
      </w:r>
    </w:p>
    <w:p w14:paraId="3312CDC7" w14:textId="77777777" w:rsidR="00570E48" w:rsidRPr="00074057" w:rsidRDefault="00570E48" w:rsidP="00570E48">
      <w:pPr>
        <w:keepNext/>
      </w:pPr>
    </w:p>
    <w:p w14:paraId="736D104D" w14:textId="77777777"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Yes </w:t>
      </w:r>
    </w:p>
    <w:p w14:paraId="3A173EFA" w14:textId="77777777"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No </w:t>
      </w:r>
    </w:p>
    <w:p w14:paraId="28D7D0F7" w14:textId="77777777" w:rsidR="00570E48" w:rsidRPr="00074057" w:rsidRDefault="00570E48" w:rsidP="00570E48">
      <w:pPr>
        <w:keepNext/>
      </w:pPr>
    </w:p>
    <w:p w14:paraId="7A786CE4" w14:textId="77777777" w:rsidR="00570E48" w:rsidRDefault="00570E48" w:rsidP="00570E48">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14:paraId="78F66CDF" w14:textId="77777777" w:rsidR="00074057" w:rsidRPr="00074057" w:rsidRDefault="00074057" w:rsidP="00570E48"/>
    <w:p w14:paraId="20BBA591" w14:textId="77777777" w:rsidR="00570E48" w:rsidRPr="00074057" w:rsidRDefault="00570E48" w:rsidP="00570E48">
      <w:pPr>
        <w:pStyle w:val="ListParagraph"/>
        <w:keepNext/>
        <w:numPr>
          <w:ilvl w:val="0"/>
          <w:numId w:val="25"/>
        </w:numPr>
        <w:ind w:left="360"/>
        <w:rPr>
          <w:rFonts w:asciiTheme="minorHAnsi" w:hAnsiTheme="minorHAnsi"/>
        </w:rPr>
      </w:pPr>
      <w:r w:rsidRPr="00074057">
        <w:rPr>
          <w:rFonts w:asciiTheme="minorHAnsi" w:hAnsiTheme="minorHAnsi"/>
        </w:rPr>
        <w:lastRenderedPageBreak/>
        <w:t xml:space="preserve">Do you have any </w:t>
      </w:r>
      <w:r w:rsidR="00074057" w:rsidRPr="00074057">
        <w:rPr>
          <w:rFonts w:asciiTheme="minorHAnsi" w:hAnsiTheme="minorHAnsi"/>
        </w:rPr>
        <w:t>additional comments not addressed by one of the previous questions?</w:t>
      </w:r>
    </w:p>
    <w:p w14:paraId="59CB7D92" w14:textId="77777777" w:rsidR="00570E48" w:rsidRPr="00074057" w:rsidRDefault="00570E48" w:rsidP="00570E48">
      <w:pPr>
        <w:keepNext/>
      </w:pPr>
    </w:p>
    <w:p w14:paraId="6E9D3855" w14:textId="77777777"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Yes </w:t>
      </w:r>
    </w:p>
    <w:p w14:paraId="2086FD1B" w14:textId="77777777"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090263">
        <w:fldChar w:fldCharType="separate"/>
      </w:r>
      <w:r w:rsidRPr="00074057">
        <w:fldChar w:fldCharType="end"/>
      </w:r>
      <w:r w:rsidRPr="00074057">
        <w:t xml:space="preserve"> No </w:t>
      </w:r>
    </w:p>
    <w:p w14:paraId="75A8C1C2" w14:textId="77777777" w:rsidR="00570E48" w:rsidRPr="00074057" w:rsidRDefault="00570E48" w:rsidP="00570E48">
      <w:pPr>
        <w:keepNext/>
      </w:pPr>
    </w:p>
    <w:p w14:paraId="661E1E38" w14:textId="77777777" w:rsidR="00570E48" w:rsidRPr="00074057" w:rsidRDefault="00570E48" w:rsidP="00570E48">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sectPr w:rsidR="00570E48" w:rsidRPr="00074057"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B0EC" w14:textId="77777777" w:rsidR="00DF4866" w:rsidRDefault="00DF4866">
      <w:r>
        <w:separator/>
      </w:r>
    </w:p>
  </w:endnote>
  <w:endnote w:type="continuationSeparator" w:id="0">
    <w:p w14:paraId="0CCE2741" w14:textId="77777777" w:rsidR="00DF4866" w:rsidRDefault="00D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9FC0" w14:textId="515E3F89" w:rsidR="00570E48" w:rsidRPr="00855BA8" w:rsidRDefault="00570E48" w:rsidP="00575783">
    <w:pPr>
      <w:pStyle w:val="Footer"/>
      <w:tabs>
        <w:tab w:val="clear" w:pos="10354"/>
        <w:tab w:val="right" w:pos="10350"/>
      </w:tabs>
      <w:ind w:left="0" w:right="18"/>
    </w:pPr>
    <w:r>
      <w:t>Unofficial Comment Form</w:t>
    </w:r>
    <w:r>
      <w:br/>
      <w:t xml:space="preserve">Project </w:t>
    </w:r>
    <w:r w:rsidR="005D4CF7">
      <w:t>2007-17.3</w:t>
    </w:r>
    <w:r>
      <w:t xml:space="preserve"> </w:t>
    </w:r>
    <w:r w:rsidR="005D4CF7">
      <w:t>PRC-005-X</w:t>
    </w:r>
    <w:r>
      <w:t xml:space="preserve"> Revisions | </w:t>
    </w:r>
    <w:r w:rsidR="005D4CF7">
      <w:t xml:space="preserve">July </w:t>
    </w:r>
    <w:r w:rsidR="0048684D">
      <w:t>2</w:t>
    </w:r>
    <w:r w:rsidR="00F23CBB">
      <w:t>9</w:t>
    </w:r>
    <w:r w:rsidR="0048684D">
      <w:t xml:space="preserve">, </w:t>
    </w:r>
    <w:r w:rsidR="005D4CF7">
      <w:t>201</w:t>
    </w:r>
    <w:r w:rsidR="00C65842">
      <w:t>4</w:t>
    </w:r>
    <w:r>
      <w:tab/>
    </w:r>
    <w:r>
      <w:fldChar w:fldCharType="begin"/>
    </w:r>
    <w:r>
      <w:instrText xml:space="preserve"> PAGE </w:instrText>
    </w:r>
    <w:r>
      <w:fldChar w:fldCharType="separate"/>
    </w:r>
    <w:r w:rsidR="0009026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9078" w14:textId="77777777" w:rsidR="00570E48" w:rsidRDefault="00570E48" w:rsidP="00855BA8">
    <w:r>
      <w:rPr>
        <w:noProof/>
      </w:rPr>
      <w:drawing>
        <wp:anchor distT="0" distB="0" distL="114300" distR="114300" simplePos="0" relativeHeight="251665918" behindDoc="1" locked="0" layoutInCell="1" allowOverlap="1" wp14:anchorId="6C6B892B" wp14:editId="747A2E0E">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AC59D" w14:textId="77777777" w:rsidR="00DF4866" w:rsidRDefault="00DF4866">
      <w:r>
        <w:separator/>
      </w:r>
    </w:p>
  </w:footnote>
  <w:footnote w:type="continuationSeparator" w:id="0">
    <w:p w14:paraId="3D9172A2" w14:textId="77777777" w:rsidR="00DF4866" w:rsidRDefault="00DF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F27E" w14:textId="77777777" w:rsidR="00570E48" w:rsidRDefault="00570E48">
    <w:r>
      <w:rPr>
        <w:noProof/>
      </w:rPr>
      <w:drawing>
        <wp:anchor distT="0" distB="0" distL="114300" distR="114300" simplePos="0" relativeHeight="251663870" behindDoc="1" locked="0" layoutInCell="1" allowOverlap="1" wp14:anchorId="647FEAF1" wp14:editId="1A6504B5">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3F48" w14:textId="77777777" w:rsidR="00570E48" w:rsidRDefault="00570E48"/>
  <w:p w14:paraId="429E7649" w14:textId="77777777" w:rsidR="00570E48" w:rsidRDefault="00570E48">
    <w:r>
      <w:rPr>
        <w:noProof/>
      </w:rPr>
      <w:drawing>
        <wp:anchor distT="0" distB="0" distL="114300" distR="114300" simplePos="0" relativeHeight="251667966" behindDoc="1" locked="0" layoutInCell="1" allowOverlap="1" wp14:anchorId="30724F79" wp14:editId="2C5FA5E2">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F683F9F"/>
    <w:multiLevelType w:val="hybridMultilevel"/>
    <w:tmpl w:val="3D040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84BAD"/>
    <w:multiLevelType w:val="hybridMultilevel"/>
    <w:tmpl w:val="F3DE45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4C483379"/>
    <w:multiLevelType w:val="hybridMultilevel"/>
    <w:tmpl w:val="08585916"/>
    <w:lvl w:ilvl="0" w:tplc="DE784BF2">
      <w:start w:val="1"/>
      <w:numFmt w:val="decimal"/>
      <w:lvlText w:val="(%1)"/>
      <w:lvlJc w:val="left"/>
      <w:pPr>
        <w:ind w:left="0" w:hanging="360"/>
      </w:pPr>
      <w:rPr>
        <w:rFonts w:ascii="Calibri" w:hAnsi="Calibri"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0E40D89"/>
    <w:multiLevelType w:val="hybridMultilevel"/>
    <w:tmpl w:val="F2F65762"/>
    <w:lvl w:ilvl="0" w:tplc="CB087B2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973299"/>
    <w:multiLevelType w:val="hybridMultilevel"/>
    <w:tmpl w:val="A29E1EB6"/>
    <w:lvl w:ilvl="0" w:tplc="06622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A521D"/>
    <w:multiLevelType w:val="hybridMultilevel"/>
    <w:tmpl w:val="3C701C3E"/>
    <w:lvl w:ilvl="0" w:tplc="AEC446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5A64388"/>
    <w:multiLevelType w:val="hybridMultilevel"/>
    <w:tmpl w:val="8982B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nsid w:val="7AB42509"/>
    <w:multiLevelType w:val="hybridMultilevel"/>
    <w:tmpl w:val="DAFA65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8"/>
  </w:num>
  <w:num w:numId="4">
    <w:abstractNumId w:val="1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5"/>
  </w:num>
  <w:num w:numId="18">
    <w:abstractNumId w:val="17"/>
  </w:num>
  <w:num w:numId="19">
    <w:abstractNumId w:val="11"/>
  </w:num>
  <w:num w:numId="20">
    <w:abstractNumId w:val="22"/>
  </w:num>
  <w:num w:numId="21">
    <w:abstractNumId w:val="16"/>
  </w:num>
  <w:num w:numId="22">
    <w:abstractNumId w:val="10"/>
  </w:num>
  <w:num w:numId="23">
    <w:abstractNumId w:val="14"/>
  </w:num>
  <w:num w:numId="24">
    <w:abstractNumId w:val="20"/>
  </w:num>
  <w:num w:numId="25">
    <w:abstractNumId w:val="31"/>
  </w:num>
  <w:num w:numId="26">
    <w:abstractNumId w:val="21"/>
  </w:num>
  <w:num w:numId="27">
    <w:abstractNumId w:val="23"/>
  </w:num>
  <w:num w:numId="28">
    <w:abstractNumId w:val="29"/>
  </w:num>
  <w:num w:numId="29">
    <w:abstractNumId w:val="13"/>
  </w:num>
  <w:num w:numId="30">
    <w:abstractNumId w:val="27"/>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2B2A"/>
    <w:rsid w:val="00024822"/>
    <w:rsid w:val="000334DF"/>
    <w:rsid w:val="00060E18"/>
    <w:rsid w:val="00070832"/>
    <w:rsid w:val="00074057"/>
    <w:rsid w:val="00090263"/>
    <w:rsid w:val="000A5E77"/>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26F3"/>
    <w:rsid w:val="001859A9"/>
    <w:rsid w:val="001A6FC8"/>
    <w:rsid w:val="001A7B2D"/>
    <w:rsid w:val="001C4C09"/>
    <w:rsid w:val="001D47FD"/>
    <w:rsid w:val="001E6782"/>
    <w:rsid w:val="001E7AF6"/>
    <w:rsid w:val="001F6F01"/>
    <w:rsid w:val="002038BA"/>
    <w:rsid w:val="00212C02"/>
    <w:rsid w:val="00262A2F"/>
    <w:rsid w:val="00262F32"/>
    <w:rsid w:val="00283FB4"/>
    <w:rsid w:val="002C11E1"/>
    <w:rsid w:val="002C6E45"/>
    <w:rsid w:val="002D48A8"/>
    <w:rsid w:val="002F2BFE"/>
    <w:rsid w:val="003075F3"/>
    <w:rsid w:val="003134D1"/>
    <w:rsid w:val="003316EE"/>
    <w:rsid w:val="00331CD6"/>
    <w:rsid w:val="003447B5"/>
    <w:rsid w:val="00366A96"/>
    <w:rsid w:val="003748FC"/>
    <w:rsid w:val="0038676B"/>
    <w:rsid w:val="0039275D"/>
    <w:rsid w:val="003A039D"/>
    <w:rsid w:val="003A2C17"/>
    <w:rsid w:val="003C0FD0"/>
    <w:rsid w:val="003C2871"/>
    <w:rsid w:val="003C3994"/>
    <w:rsid w:val="003C40A4"/>
    <w:rsid w:val="003C4DD2"/>
    <w:rsid w:val="003E1C41"/>
    <w:rsid w:val="003F78BD"/>
    <w:rsid w:val="0040795F"/>
    <w:rsid w:val="00411B23"/>
    <w:rsid w:val="0042088D"/>
    <w:rsid w:val="004350C4"/>
    <w:rsid w:val="00456B99"/>
    <w:rsid w:val="004631BF"/>
    <w:rsid w:val="004739A3"/>
    <w:rsid w:val="004800C7"/>
    <w:rsid w:val="004859C6"/>
    <w:rsid w:val="0048684D"/>
    <w:rsid w:val="00487B7F"/>
    <w:rsid w:val="004A7BAA"/>
    <w:rsid w:val="004B7DE3"/>
    <w:rsid w:val="004D3EC5"/>
    <w:rsid w:val="004E7B5C"/>
    <w:rsid w:val="00510652"/>
    <w:rsid w:val="005240B5"/>
    <w:rsid w:val="005316C6"/>
    <w:rsid w:val="005316F3"/>
    <w:rsid w:val="00545613"/>
    <w:rsid w:val="00550C5E"/>
    <w:rsid w:val="00554CD1"/>
    <w:rsid w:val="00555F79"/>
    <w:rsid w:val="00570E48"/>
    <w:rsid w:val="00573832"/>
    <w:rsid w:val="00575783"/>
    <w:rsid w:val="005835AB"/>
    <w:rsid w:val="00584F6D"/>
    <w:rsid w:val="00591CE2"/>
    <w:rsid w:val="00597D63"/>
    <w:rsid w:val="005A2920"/>
    <w:rsid w:val="005A721A"/>
    <w:rsid w:val="005B7382"/>
    <w:rsid w:val="005C2683"/>
    <w:rsid w:val="005D1C66"/>
    <w:rsid w:val="005D3F72"/>
    <w:rsid w:val="005D4CF7"/>
    <w:rsid w:val="005E6F5D"/>
    <w:rsid w:val="00605DD2"/>
    <w:rsid w:val="00631174"/>
    <w:rsid w:val="006328DD"/>
    <w:rsid w:val="00652754"/>
    <w:rsid w:val="006664BF"/>
    <w:rsid w:val="00667B65"/>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57D70"/>
    <w:rsid w:val="00760B1C"/>
    <w:rsid w:val="00784EFD"/>
    <w:rsid w:val="00785946"/>
    <w:rsid w:val="00791651"/>
    <w:rsid w:val="007A5C7E"/>
    <w:rsid w:val="007A61C6"/>
    <w:rsid w:val="007C12E8"/>
    <w:rsid w:val="007C1AEF"/>
    <w:rsid w:val="007D5248"/>
    <w:rsid w:val="007E0028"/>
    <w:rsid w:val="00831B63"/>
    <w:rsid w:val="00844209"/>
    <w:rsid w:val="008542FC"/>
    <w:rsid w:val="00855BA8"/>
    <w:rsid w:val="008866E7"/>
    <w:rsid w:val="008C1A0A"/>
    <w:rsid w:val="008C2858"/>
    <w:rsid w:val="008C4BC5"/>
    <w:rsid w:val="008D0467"/>
    <w:rsid w:val="008D532D"/>
    <w:rsid w:val="008D7C36"/>
    <w:rsid w:val="00905A97"/>
    <w:rsid w:val="00905DC1"/>
    <w:rsid w:val="009124E4"/>
    <w:rsid w:val="0091530F"/>
    <w:rsid w:val="009218CA"/>
    <w:rsid w:val="009838D6"/>
    <w:rsid w:val="00990DAF"/>
    <w:rsid w:val="009A3624"/>
    <w:rsid w:val="009A3A85"/>
    <w:rsid w:val="009A4DFE"/>
    <w:rsid w:val="009C211C"/>
    <w:rsid w:val="009C777F"/>
    <w:rsid w:val="00A159B9"/>
    <w:rsid w:val="00A31153"/>
    <w:rsid w:val="00A31945"/>
    <w:rsid w:val="00A35DA7"/>
    <w:rsid w:val="00A518B1"/>
    <w:rsid w:val="00A6738A"/>
    <w:rsid w:val="00A72AF1"/>
    <w:rsid w:val="00A80404"/>
    <w:rsid w:val="00A8535E"/>
    <w:rsid w:val="00A90B26"/>
    <w:rsid w:val="00A91FB4"/>
    <w:rsid w:val="00A92B1C"/>
    <w:rsid w:val="00AA13DB"/>
    <w:rsid w:val="00AC075B"/>
    <w:rsid w:val="00AC0C35"/>
    <w:rsid w:val="00AC36AD"/>
    <w:rsid w:val="00AC42DA"/>
    <w:rsid w:val="00AD07DE"/>
    <w:rsid w:val="00AD1865"/>
    <w:rsid w:val="00AD3B11"/>
    <w:rsid w:val="00B14603"/>
    <w:rsid w:val="00B146D4"/>
    <w:rsid w:val="00B21462"/>
    <w:rsid w:val="00B36D07"/>
    <w:rsid w:val="00B375B5"/>
    <w:rsid w:val="00B67A92"/>
    <w:rsid w:val="00B742AA"/>
    <w:rsid w:val="00B90D2E"/>
    <w:rsid w:val="00B95513"/>
    <w:rsid w:val="00BA34E0"/>
    <w:rsid w:val="00BE5580"/>
    <w:rsid w:val="00BF162A"/>
    <w:rsid w:val="00C06FBE"/>
    <w:rsid w:val="00C31EA1"/>
    <w:rsid w:val="00C36DA2"/>
    <w:rsid w:val="00C36F44"/>
    <w:rsid w:val="00C443C5"/>
    <w:rsid w:val="00C64E95"/>
    <w:rsid w:val="00C65842"/>
    <w:rsid w:val="00C73EF2"/>
    <w:rsid w:val="00C802A9"/>
    <w:rsid w:val="00C804BD"/>
    <w:rsid w:val="00C84D89"/>
    <w:rsid w:val="00C96AC8"/>
    <w:rsid w:val="00C97D29"/>
    <w:rsid w:val="00CA232D"/>
    <w:rsid w:val="00CA401C"/>
    <w:rsid w:val="00CB54F5"/>
    <w:rsid w:val="00CC04D5"/>
    <w:rsid w:val="00CC1167"/>
    <w:rsid w:val="00CC7BE7"/>
    <w:rsid w:val="00CE3F12"/>
    <w:rsid w:val="00CF6E4A"/>
    <w:rsid w:val="00CF78A7"/>
    <w:rsid w:val="00D225E0"/>
    <w:rsid w:val="00D228D6"/>
    <w:rsid w:val="00D31B2F"/>
    <w:rsid w:val="00D35D48"/>
    <w:rsid w:val="00D55D06"/>
    <w:rsid w:val="00D56EBF"/>
    <w:rsid w:val="00D5715F"/>
    <w:rsid w:val="00D71B57"/>
    <w:rsid w:val="00D7715A"/>
    <w:rsid w:val="00D8646B"/>
    <w:rsid w:val="00D9120D"/>
    <w:rsid w:val="00D92883"/>
    <w:rsid w:val="00D933A3"/>
    <w:rsid w:val="00D93707"/>
    <w:rsid w:val="00D9670F"/>
    <w:rsid w:val="00D96A22"/>
    <w:rsid w:val="00DA634C"/>
    <w:rsid w:val="00DB62EC"/>
    <w:rsid w:val="00DB7C23"/>
    <w:rsid w:val="00DC3755"/>
    <w:rsid w:val="00DC4D2B"/>
    <w:rsid w:val="00DC63DB"/>
    <w:rsid w:val="00DC6B8D"/>
    <w:rsid w:val="00DD77A9"/>
    <w:rsid w:val="00DE6954"/>
    <w:rsid w:val="00DF2751"/>
    <w:rsid w:val="00DF4866"/>
    <w:rsid w:val="00E00283"/>
    <w:rsid w:val="00E202F4"/>
    <w:rsid w:val="00E43401"/>
    <w:rsid w:val="00E43A0D"/>
    <w:rsid w:val="00E575A0"/>
    <w:rsid w:val="00E709AD"/>
    <w:rsid w:val="00E806C3"/>
    <w:rsid w:val="00EA11D3"/>
    <w:rsid w:val="00EA70E5"/>
    <w:rsid w:val="00ED3583"/>
    <w:rsid w:val="00ED5673"/>
    <w:rsid w:val="00EE4C1E"/>
    <w:rsid w:val="00EF6F41"/>
    <w:rsid w:val="00F006EF"/>
    <w:rsid w:val="00F07493"/>
    <w:rsid w:val="00F23CBB"/>
    <w:rsid w:val="00F31926"/>
    <w:rsid w:val="00F338B6"/>
    <w:rsid w:val="00F55DCC"/>
    <w:rsid w:val="00F655D5"/>
    <w:rsid w:val="00F6772B"/>
    <w:rsid w:val="00F7187A"/>
    <w:rsid w:val="00F7641D"/>
    <w:rsid w:val="00F8146F"/>
    <w:rsid w:val="00F82125"/>
    <w:rsid w:val="00FA4BE5"/>
    <w:rsid w:val="00FA5D71"/>
    <w:rsid w:val="00FB5404"/>
    <w:rsid w:val="00FC2075"/>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66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paragraph" w:customStyle="1" w:styleId="default0">
    <w:name w:val="default"/>
    <w:basedOn w:val="Normal"/>
    <w:rsid w:val="003C4DD2"/>
    <w:pPr>
      <w:autoSpaceDE w:val="0"/>
      <w:autoSpaceDN w:val="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3209">
      <w:bodyDiv w:val="1"/>
      <w:marLeft w:val="0"/>
      <w:marRight w:val="0"/>
      <w:marTop w:val="0"/>
      <w:marBottom w:val="0"/>
      <w:divBdr>
        <w:top w:val="none" w:sz="0" w:space="0" w:color="auto"/>
        <w:left w:val="none" w:sz="0" w:space="0" w:color="auto"/>
        <w:bottom w:val="none" w:sz="0" w:space="0" w:color="auto"/>
        <w:right w:val="none" w:sz="0" w:space="0" w:color="auto"/>
      </w:divBdr>
      <w:divsChild>
        <w:div w:id="324626540">
          <w:marLeft w:val="0"/>
          <w:marRight w:val="0"/>
          <w:marTop w:val="0"/>
          <w:marBottom w:val="0"/>
          <w:divBdr>
            <w:top w:val="none" w:sz="0" w:space="0" w:color="auto"/>
            <w:left w:val="none" w:sz="0" w:space="0" w:color="auto"/>
            <w:bottom w:val="none" w:sz="0" w:space="0" w:color="auto"/>
            <w:right w:val="none" w:sz="0" w:space="0" w:color="auto"/>
          </w:divBdr>
          <w:divsChild>
            <w:div w:id="2092238792">
              <w:marLeft w:val="10"/>
              <w:marRight w:val="0"/>
              <w:marTop w:val="0"/>
              <w:marBottom w:val="0"/>
              <w:divBdr>
                <w:top w:val="single" w:sz="6" w:space="0" w:color="808080"/>
                <w:left w:val="single" w:sz="6" w:space="0" w:color="808080"/>
                <w:bottom w:val="single" w:sz="6" w:space="0" w:color="808080"/>
                <w:right w:val="single" w:sz="6" w:space="0" w:color="808080"/>
              </w:divBdr>
              <w:divsChild>
                <w:div w:id="615871099">
                  <w:marLeft w:val="0"/>
                  <w:marRight w:val="0"/>
                  <w:marTop w:val="0"/>
                  <w:marBottom w:val="0"/>
                  <w:divBdr>
                    <w:top w:val="single" w:sz="6" w:space="0" w:color="C0C0C0"/>
                    <w:left w:val="single" w:sz="6" w:space="0" w:color="C0C0C0"/>
                    <w:bottom w:val="single" w:sz="6" w:space="0" w:color="C0C0C0"/>
                    <w:right w:val="single" w:sz="6" w:space="0" w:color="C0C0C0"/>
                  </w:divBdr>
                  <w:divsChild>
                    <w:div w:id="975377617">
                      <w:marLeft w:val="0"/>
                      <w:marRight w:val="0"/>
                      <w:marTop w:val="0"/>
                      <w:marBottom w:val="0"/>
                      <w:divBdr>
                        <w:top w:val="none" w:sz="0" w:space="0" w:color="auto"/>
                        <w:left w:val="none" w:sz="0" w:space="0" w:color="auto"/>
                        <w:bottom w:val="none" w:sz="0" w:space="0" w:color="auto"/>
                        <w:right w:val="none" w:sz="0" w:space="0" w:color="auto"/>
                      </w:divBdr>
                      <w:divsChild>
                        <w:div w:id="1637564886">
                          <w:marLeft w:val="1"/>
                          <w:marRight w:val="1"/>
                          <w:marTop w:val="0"/>
                          <w:marBottom w:val="0"/>
                          <w:divBdr>
                            <w:top w:val="none" w:sz="0" w:space="0" w:color="auto"/>
                            <w:left w:val="none" w:sz="0" w:space="0" w:color="auto"/>
                            <w:bottom w:val="none" w:sz="0" w:space="0" w:color="auto"/>
                            <w:right w:val="none" w:sz="0" w:space="0" w:color="auto"/>
                          </w:divBdr>
                          <w:divsChild>
                            <w:div w:id="1308784100">
                              <w:marLeft w:val="0"/>
                              <w:marRight w:val="1"/>
                              <w:marTop w:val="0"/>
                              <w:marBottom w:val="0"/>
                              <w:divBdr>
                                <w:top w:val="single" w:sz="2" w:space="1" w:color="808080"/>
                                <w:left w:val="single" w:sz="2" w:space="1" w:color="808080"/>
                                <w:bottom w:val="single" w:sz="2" w:space="1" w:color="808080"/>
                                <w:right w:val="single" w:sz="2" w:space="1" w:color="808080"/>
                              </w:divBdr>
                              <w:divsChild>
                                <w:div w:id="1164276002">
                                  <w:marLeft w:val="0"/>
                                  <w:marRight w:val="0"/>
                                  <w:marTop w:val="0"/>
                                  <w:marBottom w:val="0"/>
                                  <w:divBdr>
                                    <w:top w:val="none" w:sz="0" w:space="0" w:color="auto"/>
                                    <w:left w:val="none" w:sz="0" w:space="0" w:color="auto"/>
                                    <w:bottom w:val="none" w:sz="0" w:space="0" w:color="auto"/>
                                    <w:right w:val="none" w:sz="0" w:space="0" w:color="auto"/>
                                  </w:divBdr>
                                  <w:divsChild>
                                    <w:div w:id="561982506">
                                      <w:marLeft w:val="0"/>
                                      <w:marRight w:val="0"/>
                                      <w:marTop w:val="0"/>
                                      <w:marBottom w:val="0"/>
                                      <w:divBdr>
                                        <w:top w:val="none" w:sz="0" w:space="0" w:color="auto"/>
                                        <w:left w:val="none" w:sz="0" w:space="0" w:color="auto"/>
                                        <w:bottom w:val="none" w:sz="0" w:space="0" w:color="auto"/>
                                        <w:right w:val="none" w:sz="0" w:space="0" w:color="auto"/>
                                      </w:divBdr>
                                    </w:div>
                                    <w:div w:id="1300959153">
                                      <w:marLeft w:val="720"/>
                                      <w:marRight w:val="0"/>
                                      <w:marTop w:val="120"/>
                                      <w:marBottom w:val="0"/>
                                      <w:divBdr>
                                        <w:top w:val="none" w:sz="0" w:space="0" w:color="auto"/>
                                        <w:left w:val="none" w:sz="0" w:space="0" w:color="auto"/>
                                        <w:bottom w:val="none" w:sz="0" w:space="0" w:color="auto"/>
                                        <w:right w:val="none" w:sz="0" w:space="0" w:color="auto"/>
                                      </w:divBdr>
                                    </w:div>
                                    <w:div w:id="175929291">
                                      <w:marLeft w:val="720"/>
                                      <w:marRight w:val="0"/>
                                      <w:marTop w:val="120"/>
                                      <w:marBottom w:val="0"/>
                                      <w:divBdr>
                                        <w:top w:val="none" w:sz="0" w:space="0" w:color="auto"/>
                                        <w:left w:val="none" w:sz="0" w:space="0" w:color="auto"/>
                                        <w:bottom w:val="none" w:sz="0" w:space="0" w:color="auto"/>
                                        <w:right w:val="none" w:sz="0" w:space="0" w:color="auto"/>
                                      </w:divBdr>
                                    </w:div>
                                    <w:div w:id="1123882289">
                                      <w:marLeft w:val="0"/>
                                      <w:marRight w:val="0"/>
                                      <w:marTop w:val="120"/>
                                      <w:marBottom w:val="0"/>
                                      <w:divBdr>
                                        <w:top w:val="none" w:sz="0" w:space="0" w:color="auto"/>
                                        <w:left w:val="none" w:sz="0" w:space="0" w:color="auto"/>
                                        <w:bottom w:val="none" w:sz="0" w:space="0" w:color="auto"/>
                                        <w:right w:val="none" w:sz="0" w:space="0" w:color="auto"/>
                                      </w:divBdr>
                                    </w:div>
                                    <w:div w:id="1955601286">
                                      <w:marLeft w:val="720"/>
                                      <w:marRight w:val="1440"/>
                                      <w:marTop w:val="0"/>
                                      <w:marBottom w:val="0"/>
                                      <w:divBdr>
                                        <w:top w:val="none" w:sz="0" w:space="0" w:color="auto"/>
                                        <w:left w:val="none" w:sz="0" w:space="0" w:color="auto"/>
                                        <w:bottom w:val="none" w:sz="0" w:space="0" w:color="auto"/>
                                        <w:right w:val="none" w:sz="0" w:space="0" w:color="auto"/>
                                      </w:divBdr>
                                    </w:div>
                                    <w:div w:id="1941983209">
                                      <w:marLeft w:val="72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dan.mallory@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d521dd17cc224fb78d7269d8fee3ead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7-17_3-Protection-System-Maintenance-and-Testing-Phase-3.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ED86220E1B6B4290649EFA82DE7004" ma:contentTypeVersion="0" ma:contentTypeDescription="Create a new document." ma:contentTypeScope="" ma:versionID="969f8676e28f106a134d951b9944e57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6C68A62DEF06C41B0A79D750CF97402" ma:contentTypeVersion="40" ma:contentTypeDescription="Create a new document." ma:contentTypeScope="" ma:versionID="e13e2e31fc8ed5d878e2704cd852d5f4">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423E5-752E-4842-99AF-E21331AC7CF9}"/>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99971DA-9072-4F1A-A517-9DFEE7D655B6}"/>
</file>

<file path=customXml/itemProps5.xml><?xml version="1.0" encoding="utf-8"?>
<ds:datastoreItem xmlns:ds="http://schemas.openxmlformats.org/officeDocument/2006/customXml" ds:itemID="{0FFD3F43-3088-43AD-9CD3-67CF1E50E57C}"/>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2014-07-16T14:18:00Z</dcterms:created>
  <dcterms:modified xsi:type="dcterms:W3CDTF">2014-07-30T12:04:00Z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0x01010036C68A62DEF06C41B0A79D750CF97402</vt:lpwstr>
  </property>
  <property fmtid="{D5CDD505-2E9C-101B-9397-08002B2CF9AE}" pid="3" name="Document Category">
    <vt:lpwstr>Template</vt:lpwstr>
  </property>
  <property fmtid="{D5CDD505-2E9C-101B-9397-08002B2CF9AE}" pid="4" name="_dlc_DocIdItemGuid">
    <vt:lpwstr>b5ffa244-f095-4c56-aa34-a8c7c492d982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