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E81F31">
        <w:rPr>
          <w:rFonts w:ascii="Times New Roman" w:hAnsi="Times New Roman" w:cs="Times New Roman"/>
          <w:noProof/>
          <w:sz w:val="24"/>
          <w:szCs w:val="24"/>
        </w:rPr>
        <w:drawing>
          <wp:inline distT="0" distB="0" distL="0" distR="0">
            <wp:extent cx="2182495" cy="724535"/>
            <wp:effectExtent l="19050" t="0" r="825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cstate="print"/>
                    <a:srcRect/>
                    <a:stretch>
                      <a:fillRect/>
                    </a:stretch>
                  </pic:blipFill>
                  <pic:spPr bwMode="auto">
                    <a:xfrm>
                      <a:off x="0" y="0"/>
                      <a:ext cx="2182495" cy="724535"/>
                    </a:xfrm>
                    <a:prstGeom prst="rect">
                      <a:avLst/>
                    </a:prstGeom>
                    <a:noFill/>
                    <a:ln w="9525">
                      <a:noFill/>
                      <a:miter lim="800000"/>
                      <a:headEnd/>
                      <a:tailEnd/>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Default="008C462E">
      <w:pPr>
        <w:widowControl w:val="0"/>
        <w:spacing w:line="437" w:lineRule="exact"/>
        <w:rPr>
          <w:rFonts w:ascii="Times New Roman" w:hAnsi="Times New Roman" w:cs="Times New Roman"/>
          <w:sz w:val="24"/>
          <w:szCs w:val="24"/>
        </w:rPr>
      </w:pPr>
    </w:p>
    <w:p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Questionnaire and</w:t>
      </w:r>
    </w:p>
    <w:p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rsidR="00DF77F1" w:rsidRDefault="00DF77F1" w:rsidP="00945D21">
      <w:pPr>
        <w:widowControl w:val="0"/>
        <w:tabs>
          <w:tab w:val="center" w:pos="5820"/>
        </w:tabs>
        <w:jc w:val="center"/>
        <w:rPr>
          <w:rFonts w:ascii="Times New Roman" w:hAnsi="Times New Roman" w:cs="Times New Roman"/>
          <w:b/>
          <w:bCs/>
          <w:color w:val="000000"/>
          <w:sz w:val="24"/>
          <w:szCs w:val="24"/>
        </w:rPr>
      </w:pPr>
    </w:p>
    <w:p w:rsidR="00CD0DCC" w:rsidRPr="001F467C" w:rsidRDefault="00CD0DCC" w:rsidP="00945D21">
      <w:pPr>
        <w:widowControl w:val="0"/>
        <w:tabs>
          <w:tab w:val="center" w:pos="5820"/>
        </w:tabs>
        <w:jc w:val="center"/>
        <w:rPr>
          <w:rFonts w:ascii="Times New Roman" w:hAnsi="Times New Roman" w:cs="Times New Roman"/>
          <w:b/>
          <w:bCs/>
          <w:color w:val="000000"/>
          <w:sz w:val="24"/>
          <w:szCs w:val="24"/>
        </w:rPr>
      </w:pPr>
    </w:p>
    <w:p w:rsidR="003231ED" w:rsidRDefault="003231ED" w:rsidP="00945D21">
      <w:pPr>
        <w:widowControl w:val="0"/>
        <w:ind w:left="1" w:hanging="1"/>
        <w:jc w:val="center"/>
        <w:rPr>
          <w:rFonts w:ascii="Times New Roman" w:hAnsi="Times New Roman" w:cs="Times New Roman"/>
          <w:b/>
          <w:bCs/>
          <w:sz w:val="24"/>
          <w:szCs w:val="24"/>
        </w:rPr>
      </w:pPr>
    </w:p>
    <w:p w:rsidR="008C462E" w:rsidRPr="001F467C" w:rsidRDefault="00D10BE5" w:rsidP="00945D21">
      <w:pPr>
        <w:widowControl w:val="0"/>
        <w:ind w:left="1" w:hanging="1"/>
        <w:jc w:val="center"/>
        <w:rPr>
          <w:rFonts w:ascii="Times New Roman" w:hAnsi="Times New Roman" w:cs="Times New Roman"/>
          <w:sz w:val="24"/>
          <w:szCs w:val="24"/>
        </w:rPr>
      </w:pPr>
      <w:r>
        <w:rPr>
          <w:rFonts w:ascii="Times New Roman" w:hAnsi="Times New Roman" w:cs="Times New Roman"/>
          <w:b/>
          <w:bCs/>
          <w:sz w:val="24"/>
          <w:szCs w:val="24"/>
        </w:rPr>
        <w:t>MOD-0</w:t>
      </w:r>
      <w:r w:rsidR="00115658">
        <w:rPr>
          <w:rFonts w:ascii="Times New Roman" w:hAnsi="Times New Roman" w:cs="Times New Roman"/>
          <w:b/>
          <w:bCs/>
          <w:sz w:val="24"/>
          <w:szCs w:val="24"/>
        </w:rPr>
        <w:t>28</w:t>
      </w:r>
      <w:r w:rsidR="001B5272" w:rsidRPr="001F467C">
        <w:rPr>
          <w:rFonts w:ascii="Times New Roman" w:hAnsi="Times New Roman" w:cs="Times New Roman"/>
          <w:b/>
          <w:bCs/>
          <w:sz w:val="24"/>
          <w:szCs w:val="24"/>
        </w:rPr>
        <w:t>-</w:t>
      </w:r>
      <w:r w:rsidR="00125D9B">
        <w:rPr>
          <w:rFonts w:ascii="Times New Roman" w:hAnsi="Times New Roman" w:cs="Times New Roman"/>
          <w:b/>
          <w:bCs/>
          <w:sz w:val="24"/>
          <w:szCs w:val="24"/>
        </w:rPr>
        <w:t>2</w:t>
      </w:r>
      <w:r w:rsidR="004A7725" w:rsidRPr="001F467C">
        <w:rPr>
          <w:rFonts w:ascii="Times New Roman" w:hAnsi="Times New Roman" w:cs="Times New Roman"/>
          <w:b/>
          <w:bCs/>
          <w:sz w:val="24"/>
          <w:szCs w:val="24"/>
        </w:rPr>
        <w:t xml:space="preserve"> </w:t>
      </w:r>
      <w:r w:rsidR="001F467C">
        <w:rPr>
          <w:rFonts w:ascii="Times New Roman" w:hAnsi="Times New Roman" w:cs="Times New Roman"/>
          <w:b/>
          <w:bCs/>
          <w:color w:val="003366"/>
          <w:sz w:val="24"/>
          <w:szCs w:val="24"/>
        </w:rPr>
        <w:t>—</w:t>
      </w:r>
      <w:r w:rsidR="00945D21" w:rsidRPr="001F467C">
        <w:rPr>
          <w:rFonts w:ascii="Times New Roman" w:hAnsi="Times New Roman" w:cs="Times New Roman"/>
          <w:b/>
          <w:bCs/>
          <w:color w:val="003366"/>
          <w:sz w:val="24"/>
          <w:szCs w:val="24"/>
        </w:rPr>
        <w:t xml:space="preserve"> </w:t>
      </w:r>
      <w:r w:rsidR="00115658">
        <w:rPr>
          <w:rFonts w:ascii="Times New Roman" w:hAnsi="Times New Roman" w:cs="Times New Roman"/>
          <w:b/>
          <w:bCs/>
          <w:sz w:val="24"/>
          <w:szCs w:val="24"/>
        </w:rPr>
        <w:t>Area Interchange Methodology</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3231ED" w:rsidRDefault="003231ED">
      <w:pPr>
        <w:widowControl w:val="0"/>
        <w:tabs>
          <w:tab w:val="left" w:pos="480"/>
        </w:tabs>
        <w:spacing w:line="331" w:lineRule="exact"/>
        <w:rPr>
          <w:rFonts w:ascii="Times New Roman" w:hAnsi="Times New Roman" w:cs="Times New Roman"/>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Registered Entity:</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rsidR="003231ED" w:rsidRDefault="003231ED">
      <w:pPr>
        <w:widowControl w:val="0"/>
        <w:tabs>
          <w:tab w:val="left" w:pos="48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1F467C">
        <w:rPr>
          <w:rFonts w:ascii="Times New Roman" w:hAnsi="Times New Roman" w:cs="Times New Roman"/>
          <w:b/>
          <w:bCs/>
          <w:color w:val="264D74"/>
          <w:sz w:val="24"/>
          <w:szCs w:val="24"/>
        </w:rPr>
        <w:t>NCR Number:</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3231ED" w:rsidRDefault="003231ED" w:rsidP="003231ED">
      <w:pPr>
        <w:widowControl w:val="0"/>
        <w:tabs>
          <w:tab w:val="left" w:pos="480"/>
          <w:tab w:val="left" w:pos="3720"/>
        </w:tabs>
        <w:spacing w:line="331" w:lineRule="exact"/>
        <w:rPr>
          <w:rFonts w:ascii="Times New Roman" w:hAnsi="Times New Roman" w:cs="Times New Roman"/>
          <w:b/>
          <w:bCs/>
          <w:color w:val="264D74"/>
          <w:sz w:val="24"/>
          <w:szCs w:val="24"/>
        </w:rPr>
      </w:pPr>
    </w:p>
    <w:p w:rsidR="00E67DD6" w:rsidRDefault="003231ED" w:rsidP="003231ED">
      <w:pPr>
        <w:widowControl w:val="0"/>
        <w:tabs>
          <w:tab w:val="left" w:pos="480"/>
          <w:tab w:val="left" w:pos="3720"/>
        </w:tabs>
        <w:spacing w:line="331"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w:t>
      </w:r>
      <w:r w:rsidR="008C462E" w:rsidRPr="001F467C">
        <w:rPr>
          <w:rFonts w:ascii="Times New Roman" w:hAnsi="Times New Roman" w:cs="Times New Roman"/>
          <w:b/>
          <w:bCs/>
          <w:color w:val="264D74"/>
          <w:sz w:val="24"/>
          <w:szCs w:val="24"/>
        </w:rPr>
        <w:t>pplicable Function(s):</w:t>
      </w:r>
      <w:r w:rsidR="00A95CC4">
        <w:rPr>
          <w:rFonts w:ascii="Times New Roman" w:hAnsi="Times New Roman" w:cs="Times New Roman"/>
          <w:b/>
          <w:bCs/>
          <w:color w:val="264D74"/>
          <w:sz w:val="24"/>
          <w:szCs w:val="24"/>
        </w:rPr>
        <w:t xml:space="preserve"> </w:t>
      </w:r>
    </w:p>
    <w:p w:rsidR="008C462E" w:rsidRDefault="00115658" w:rsidP="005D3794">
      <w:pPr>
        <w:widowControl w:val="0"/>
        <w:tabs>
          <w:tab w:val="left" w:pos="900"/>
          <w:tab w:val="left" w:pos="3720"/>
        </w:tabs>
        <w:spacing w:line="331" w:lineRule="exact"/>
        <w:ind w:left="542"/>
        <w:rPr>
          <w:rFonts w:ascii="Times New Roman" w:hAnsi="Times New Roman" w:cs="Times New Roman"/>
          <w:bCs/>
          <w:sz w:val="24"/>
          <w:szCs w:val="24"/>
        </w:rPr>
      </w:pPr>
      <w:r>
        <w:rPr>
          <w:rFonts w:ascii="Times New Roman" w:hAnsi="Times New Roman" w:cs="Times New Roman"/>
          <w:bCs/>
          <w:sz w:val="24"/>
          <w:szCs w:val="24"/>
        </w:rPr>
        <w:t xml:space="preserve">Each </w:t>
      </w:r>
      <w:r w:rsidRPr="003231ED">
        <w:rPr>
          <w:rFonts w:ascii="Times New Roman" w:hAnsi="Times New Roman" w:cs="Times New Roman"/>
          <w:b/>
          <w:bCs/>
          <w:sz w:val="24"/>
          <w:szCs w:val="24"/>
        </w:rPr>
        <w:t>TOP</w:t>
      </w:r>
      <w:r>
        <w:rPr>
          <w:rFonts w:ascii="Times New Roman" w:hAnsi="Times New Roman" w:cs="Times New Roman"/>
          <w:bCs/>
          <w:sz w:val="24"/>
          <w:szCs w:val="24"/>
        </w:rPr>
        <w:t xml:space="preserve"> that uses the Area Interchange Methodology to calculate Total Transfer </w:t>
      </w:r>
      <w:r w:rsidR="0014121C">
        <w:rPr>
          <w:rFonts w:ascii="Times New Roman" w:hAnsi="Times New Roman" w:cs="Times New Roman"/>
          <w:bCs/>
          <w:sz w:val="24"/>
          <w:szCs w:val="24"/>
        </w:rPr>
        <w:t>C</w:t>
      </w:r>
      <w:r>
        <w:rPr>
          <w:rFonts w:ascii="Times New Roman" w:hAnsi="Times New Roman" w:cs="Times New Roman"/>
          <w:bCs/>
          <w:sz w:val="24"/>
          <w:szCs w:val="24"/>
        </w:rPr>
        <w:t>apa</w:t>
      </w:r>
      <w:r w:rsidR="00E67DD6">
        <w:rPr>
          <w:rFonts w:ascii="Times New Roman" w:hAnsi="Times New Roman" w:cs="Times New Roman"/>
          <w:bCs/>
          <w:sz w:val="24"/>
          <w:szCs w:val="24"/>
        </w:rPr>
        <w:t>bilities (TTCs) for ATC Paths.</w:t>
      </w:r>
    </w:p>
    <w:p w:rsidR="00E67DD6" w:rsidRPr="00E67DD6" w:rsidRDefault="00E67DD6" w:rsidP="005D3794">
      <w:pPr>
        <w:widowControl w:val="0"/>
        <w:tabs>
          <w:tab w:val="left" w:pos="900"/>
          <w:tab w:val="left" w:pos="3720"/>
        </w:tabs>
        <w:spacing w:line="331" w:lineRule="exact"/>
        <w:ind w:left="540"/>
        <w:rPr>
          <w:rFonts w:ascii="Times New Roman" w:hAnsi="Times New Roman" w:cs="Times New Roman"/>
          <w:bCs/>
          <w:sz w:val="24"/>
          <w:szCs w:val="24"/>
        </w:rPr>
      </w:pPr>
      <w:r>
        <w:rPr>
          <w:rFonts w:ascii="Times New Roman" w:hAnsi="Times New Roman" w:cs="Times New Roman"/>
          <w:bCs/>
          <w:sz w:val="24"/>
          <w:szCs w:val="24"/>
        </w:rPr>
        <w:t xml:space="preserve">Each </w:t>
      </w:r>
      <w:r w:rsidRPr="003231ED">
        <w:rPr>
          <w:rFonts w:ascii="Times New Roman" w:hAnsi="Times New Roman" w:cs="Times New Roman"/>
          <w:b/>
          <w:bCs/>
          <w:sz w:val="24"/>
          <w:szCs w:val="24"/>
        </w:rPr>
        <w:t>TSP</w:t>
      </w:r>
      <w:r>
        <w:rPr>
          <w:rFonts w:ascii="Times New Roman" w:hAnsi="Times New Roman" w:cs="Times New Roman"/>
          <w:bCs/>
          <w:sz w:val="24"/>
          <w:szCs w:val="24"/>
        </w:rPr>
        <w:t xml:space="preserve"> that uses the Area Interchange Methodology to calculate Available Transfer Capabilities (ATCs) for ATC Paths.</w:t>
      </w:r>
    </w:p>
    <w:p w:rsidR="003231ED" w:rsidRDefault="003231ED" w:rsidP="003231ED">
      <w:pPr>
        <w:widowControl w:val="0"/>
        <w:tabs>
          <w:tab w:val="left" w:pos="120"/>
        </w:tabs>
        <w:spacing w:line="331" w:lineRule="exact"/>
        <w:rPr>
          <w:rFonts w:ascii="Times New Roman" w:hAnsi="Times New Roman" w:cs="Times New Roman"/>
          <w:b/>
          <w:bCs/>
          <w:color w:val="264D74"/>
          <w:sz w:val="24"/>
          <w:szCs w:val="24"/>
        </w:rPr>
      </w:pPr>
    </w:p>
    <w:p w:rsidR="00DF77F1" w:rsidRPr="00021BFF" w:rsidRDefault="00DF77F1" w:rsidP="003231ED">
      <w:pPr>
        <w:widowControl w:val="0"/>
        <w:tabs>
          <w:tab w:val="left" w:pos="120"/>
        </w:tabs>
        <w:spacing w:line="331"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w:t>
      </w: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spacing w:line="120" w:lineRule="exact"/>
        <w:rPr>
          <w:rFonts w:ascii="Times New Roman" w:hAnsi="Times New Roman" w:cs="Times New Roman"/>
          <w:sz w:val="24"/>
          <w:szCs w:val="24"/>
        </w:rPr>
      </w:pPr>
    </w:p>
    <w:p w:rsidR="008C462E" w:rsidRPr="001F467C"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rsidR="009F494F" w:rsidRPr="001F467C" w:rsidRDefault="009F494F" w:rsidP="009F494F">
      <w:pPr>
        <w:widowControl w:val="0"/>
        <w:tabs>
          <w:tab w:val="left" w:pos="120"/>
        </w:tabs>
        <w:spacing w:line="331"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lastRenderedPageBreak/>
        <w:t>Disclaimer</w:t>
      </w:r>
    </w:p>
    <w:p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571FA4" w:rsidRDefault="008C462E" w:rsidP="00571FA4">
      <w:pPr>
        <w:pStyle w:val="Heading1"/>
        <w:rPr>
          <w:szCs w:val="24"/>
        </w:rPr>
      </w:pPr>
      <w:r w:rsidRPr="001F467C">
        <w:rPr>
          <w:rFonts w:ascii="Times New Roman" w:hAnsi="Times New Roman" w:cs="Times New Roman"/>
          <w:sz w:val="24"/>
          <w:szCs w:val="24"/>
        </w:rPr>
        <w:br w:type="page"/>
      </w:r>
      <w:r w:rsidR="00DF77F1" w:rsidRPr="00571FA4">
        <w:lastRenderedPageBreak/>
        <w:t>Subject Matter Experts</w:t>
      </w:r>
    </w:p>
    <w:p w:rsidR="003231ED" w:rsidRDefault="003231ED"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3231ED">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3231ED" w:rsidTr="00B060A0">
        <w:tc>
          <w:tcPr>
            <w:tcW w:w="3528" w:type="dxa"/>
            <w:tcBorders>
              <w:top w:val="single" w:sz="8" w:space="0" w:color="4F81BD"/>
              <w:left w:val="nil"/>
              <w:bottom w:val="single" w:sz="8" w:space="0" w:color="4F81BD"/>
              <w:right w:val="nil"/>
            </w:tcBorders>
          </w:tcPr>
          <w:p w:rsidR="00DF77F1" w:rsidRPr="003231ED" w:rsidRDefault="00DF77F1" w:rsidP="00B060A0">
            <w:pPr>
              <w:widowControl w:val="0"/>
              <w:spacing w:line="468" w:lineRule="exact"/>
              <w:rPr>
                <w:rFonts w:ascii="Times New Roman" w:hAnsi="Times New Roman" w:cs="Times New Roman"/>
                <w:b/>
                <w:bCs/>
                <w:color w:val="264D74"/>
                <w:sz w:val="24"/>
                <w:szCs w:val="24"/>
              </w:rPr>
            </w:pPr>
            <w:r w:rsidRPr="003231ED">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3231ED" w:rsidRDefault="00DF77F1" w:rsidP="00B060A0">
            <w:pPr>
              <w:widowControl w:val="0"/>
              <w:spacing w:line="468" w:lineRule="exact"/>
              <w:rPr>
                <w:rFonts w:ascii="Times New Roman" w:hAnsi="Times New Roman" w:cs="Times New Roman"/>
                <w:b/>
                <w:bCs/>
                <w:color w:val="264D74"/>
                <w:sz w:val="24"/>
                <w:szCs w:val="24"/>
              </w:rPr>
            </w:pPr>
            <w:r w:rsidRPr="003231ED">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3231ED" w:rsidRDefault="00DF77F1" w:rsidP="00B060A0">
            <w:pPr>
              <w:widowControl w:val="0"/>
              <w:spacing w:line="468" w:lineRule="exact"/>
              <w:rPr>
                <w:rFonts w:ascii="Times New Roman" w:hAnsi="Times New Roman" w:cs="Times New Roman"/>
                <w:b/>
                <w:bCs/>
                <w:color w:val="264D74"/>
                <w:sz w:val="24"/>
                <w:szCs w:val="24"/>
              </w:rPr>
            </w:pPr>
            <w:r w:rsidRPr="003231ED">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3231ED" w:rsidRDefault="00DF77F1" w:rsidP="00B060A0">
            <w:pPr>
              <w:widowControl w:val="0"/>
              <w:spacing w:line="468" w:lineRule="exact"/>
              <w:rPr>
                <w:rFonts w:ascii="Times New Roman" w:hAnsi="Times New Roman" w:cs="Times New Roman"/>
                <w:b/>
                <w:bCs/>
                <w:color w:val="264D74"/>
                <w:sz w:val="24"/>
                <w:szCs w:val="24"/>
              </w:rPr>
            </w:pPr>
            <w:r w:rsidRPr="003231ED">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DF77F1" w:rsidRPr="00234680" w:rsidRDefault="00DF77F1" w:rsidP="00DF77F1">
      <w:pPr>
        <w:widowControl w:val="0"/>
        <w:spacing w:line="468"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DF77F1" w:rsidRDefault="00DF77F1" w:rsidP="00DF77F1">
      <w:pPr>
        <w:widowControl w:val="0"/>
        <w:spacing w:line="40" w:lineRule="exact"/>
        <w:rPr>
          <w:rFonts w:ascii="Times New Roman" w:hAnsi="Times New Roman" w:cs="Times New Roman"/>
          <w:sz w:val="24"/>
          <w:szCs w:val="24"/>
        </w:rPr>
      </w:pPr>
    </w:p>
    <w:p w:rsidR="002B6766" w:rsidRDefault="00DF77F1" w:rsidP="003231ED">
      <w:pPr>
        <w:pStyle w:val="Heading1"/>
      </w:pPr>
      <w:r>
        <w:rPr>
          <w:rFonts w:ascii="Times New Roman" w:hAnsi="Times New Roman" w:cs="Times New Roman"/>
          <w:sz w:val="24"/>
          <w:szCs w:val="24"/>
        </w:rPr>
        <w:br w:type="page"/>
      </w:r>
      <w:r w:rsidR="002B6766">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1F467C" w:rsidRDefault="008C462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sidR="00D10BE5">
        <w:rPr>
          <w:rFonts w:ascii="Times New Roman" w:hAnsi="Times New Roman" w:cs="Times New Roman"/>
          <w:b/>
          <w:bCs/>
          <w:color w:val="003366"/>
          <w:sz w:val="24"/>
          <w:szCs w:val="24"/>
        </w:rPr>
        <w:t>MOD-0</w:t>
      </w:r>
      <w:r w:rsidR="00571FA4">
        <w:rPr>
          <w:rFonts w:ascii="Times New Roman" w:hAnsi="Times New Roman" w:cs="Times New Roman"/>
          <w:b/>
          <w:bCs/>
          <w:color w:val="003366"/>
          <w:sz w:val="24"/>
          <w:szCs w:val="24"/>
        </w:rPr>
        <w:t>28</w:t>
      </w:r>
      <w:r w:rsidR="001F467C">
        <w:rPr>
          <w:rFonts w:ascii="Times New Roman" w:hAnsi="Times New Roman" w:cs="Times New Roman"/>
          <w:b/>
          <w:bCs/>
          <w:color w:val="003366"/>
          <w:sz w:val="24"/>
          <w:szCs w:val="24"/>
        </w:rPr>
        <w:t>-</w:t>
      </w:r>
      <w:r w:rsidR="00945FAD">
        <w:rPr>
          <w:rFonts w:ascii="Times New Roman" w:hAnsi="Times New Roman" w:cs="Times New Roman"/>
          <w:b/>
          <w:bCs/>
          <w:color w:val="003366"/>
          <w:sz w:val="24"/>
          <w:szCs w:val="24"/>
        </w:rPr>
        <w:t>2</w:t>
      </w:r>
      <w:r w:rsidRPr="001F467C">
        <w:rPr>
          <w:rFonts w:ascii="Times New Roman" w:hAnsi="Times New Roman" w:cs="Times New Roman"/>
          <w:b/>
          <w:bCs/>
          <w:color w:val="003366"/>
          <w:sz w:val="24"/>
          <w:szCs w:val="24"/>
        </w:rPr>
        <w:t xml:space="preserve"> </w:t>
      </w:r>
      <w:r w:rsidR="001F467C">
        <w:rPr>
          <w:rFonts w:ascii="Times New Roman" w:hAnsi="Times New Roman" w:cs="Times New Roman"/>
          <w:b/>
          <w:bCs/>
          <w:color w:val="003366"/>
          <w:sz w:val="24"/>
          <w:szCs w:val="24"/>
        </w:rPr>
        <w:t>—</w:t>
      </w:r>
      <w:r w:rsidRPr="001F467C">
        <w:rPr>
          <w:rFonts w:ascii="Times New Roman" w:hAnsi="Times New Roman" w:cs="Times New Roman"/>
          <w:b/>
          <w:bCs/>
          <w:color w:val="003366"/>
          <w:sz w:val="24"/>
          <w:szCs w:val="24"/>
        </w:rPr>
        <w:t xml:space="preserve"> </w:t>
      </w:r>
      <w:r w:rsidR="00D10BE5">
        <w:rPr>
          <w:rFonts w:ascii="Times New Roman" w:hAnsi="Times New Roman" w:cs="Times New Roman"/>
          <w:b/>
          <w:bCs/>
          <w:color w:val="003366"/>
          <w:sz w:val="24"/>
          <w:szCs w:val="24"/>
        </w:rPr>
        <w:t>Available Transmission Capability</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3231ED" w:rsidRDefault="003231ED" w:rsidP="00843AC4">
      <w:pPr>
        <w:widowControl w:val="0"/>
        <w:tabs>
          <w:tab w:val="left" w:pos="990"/>
        </w:tabs>
        <w:spacing w:line="294" w:lineRule="exact"/>
        <w:rPr>
          <w:rFonts w:ascii="Times New Roman" w:hAnsi="Times New Roman" w:cs="Times New Roman"/>
          <w:b/>
          <w:bCs/>
          <w:color w:val="264D74"/>
          <w:sz w:val="24"/>
          <w:szCs w:val="24"/>
        </w:rPr>
      </w:pPr>
    </w:p>
    <w:p w:rsidR="003231ED" w:rsidRDefault="008C462E" w:rsidP="00843AC4">
      <w:pPr>
        <w:widowControl w:val="0"/>
        <w:tabs>
          <w:tab w:val="left" w:pos="99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Purpose: </w:t>
      </w:r>
    </w:p>
    <w:p w:rsidR="003231ED" w:rsidRDefault="003231ED" w:rsidP="00843AC4">
      <w:pPr>
        <w:widowControl w:val="0"/>
        <w:tabs>
          <w:tab w:val="left" w:pos="990"/>
        </w:tabs>
        <w:spacing w:line="294" w:lineRule="exact"/>
        <w:rPr>
          <w:rFonts w:ascii="Times New Roman" w:hAnsi="Times New Roman" w:cs="Times New Roman"/>
          <w:b/>
          <w:bCs/>
          <w:color w:val="264D74"/>
          <w:sz w:val="24"/>
          <w:szCs w:val="24"/>
        </w:rPr>
      </w:pPr>
    </w:p>
    <w:p w:rsidR="008C462E" w:rsidRPr="009C6C7C" w:rsidRDefault="009C6C7C" w:rsidP="00843AC4">
      <w:pPr>
        <w:widowControl w:val="0"/>
        <w:tabs>
          <w:tab w:val="left" w:pos="990"/>
        </w:tabs>
        <w:spacing w:line="294" w:lineRule="exact"/>
        <w:rPr>
          <w:rFonts w:ascii="Times New Roman" w:hAnsi="Times New Roman" w:cs="Times New Roman"/>
          <w:bCs/>
          <w:color w:val="264D74"/>
          <w:sz w:val="24"/>
          <w:szCs w:val="24"/>
        </w:rPr>
      </w:pPr>
      <w:r w:rsidRPr="00843AC4">
        <w:rPr>
          <w:rFonts w:ascii="Times New Roman" w:hAnsi="Times New Roman" w:cs="Times New Roman"/>
          <w:bCs/>
          <w:sz w:val="24"/>
          <w:szCs w:val="24"/>
        </w:rPr>
        <w:t xml:space="preserve">To increase consistency and reliability in the development </w:t>
      </w:r>
      <w:r w:rsidR="00843AC4" w:rsidRPr="00843AC4">
        <w:rPr>
          <w:rFonts w:ascii="Times New Roman" w:hAnsi="Times New Roman" w:cs="Times New Roman"/>
          <w:bCs/>
          <w:sz w:val="24"/>
          <w:szCs w:val="24"/>
        </w:rPr>
        <w:t xml:space="preserve">and documentation of Transfer Capability calculations for short-term use performed by entities using Area Interchange Methodology to support </w:t>
      </w:r>
      <w:r w:rsidR="00843AC4" w:rsidRPr="00843AC4">
        <w:rPr>
          <w:rFonts w:ascii="Times New Roman" w:hAnsi="Times New Roman" w:cs="Times New Roman"/>
          <w:bCs/>
          <w:sz w:val="24"/>
          <w:szCs w:val="24"/>
        </w:rPr>
        <w:tab/>
        <w:t>analysis and system operations.</w:t>
      </w:r>
    </w:p>
    <w:p w:rsidR="008737EE" w:rsidRPr="00C70356" w:rsidRDefault="008737EE" w:rsidP="00C70356">
      <w:pPr>
        <w:pStyle w:val="ListNumber"/>
        <w:numPr>
          <w:ilvl w:val="0"/>
          <w:numId w:val="0"/>
        </w:numPr>
        <w:tabs>
          <w:tab w:val="left" w:pos="2160"/>
        </w:tabs>
        <w:autoSpaceDE/>
        <w:autoSpaceDN/>
        <w:adjustRightInd/>
        <w:spacing w:after="120"/>
        <w:rPr>
          <w:rFonts w:ascii="Times New Roman" w:hAnsi="Times New Roman" w:cs="Times New Roman"/>
          <w:bCs/>
          <w:snapToGrid w:val="0"/>
          <w:sz w:val="24"/>
          <w:szCs w:val="24"/>
        </w:rPr>
      </w:pPr>
    </w:p>
    <w:p w:rsidR="008C462E" w:rsidRPr="0049548F"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945FAD">
        <w:rPr>
          <w:rFonts w:ascii="Times New Roman Bold" w:hAnsi="Times New Roman Bold" w:cs="Times New Roman"/>
          <w:b/>
          <w:bCs/>
          <w:sz w:val="24"/>
          <w:szCs w:val="24"/>
        </w:rPr>
        <w:t xml:space="preserve"> </w:t>
      </w:r>
      <w:r w:rsidR="0014121C">
        <w:rPr>
          <w:rFonts w:ascii="Times New Roman Bold" w:hAnsi="Times New Roman Bold" w:cs="Times New Roman"/>
          <w:b/>
          <w:bCs/>
          <w:sz w:val="24"/>
          <w:szCs w:val="24"/>
        </w:rPr>
        <w:t>2/9/2012</w:t>
      </w:r>
    </w:p>
    <w:p w:rsidR="008C462E" w:rsidRPr="0049548F" w:rsidRDefault="008C462E">
      <w:pPr>
        <w:widowControl w:val="0"/>
        <w:spacing w:line="120" w:lineRule="exact"/>
        <w:rPr>
          <w:rFonts w:ascii="Times New Roman Bold" w:hAnsi="Times New Roman Bold" w:cs="Times New Roman"/>
          <w:sz w:val="24"/>
          <w:szCs w:val="24"/>
        </w:rPr>
      </w:pPr>
    </w:p>
    <w:p w:rsidR="008C462E" w:rsidRPr="0049548F" w:rsidRDefault="008C462E">
      <w:pPr>
        <w:widowControl w:val="0"/>
        <w:tabs>
          <w:tab w:val="left" w:pos="480"/>
        </w:tabs>
        <w:spacing w:line="240" w:lineRule="exact"/>
        <w:rPr>
          <w:rFonts w:ascii="Times New Roman Bold" w:hAnsi="Times New Roman Bold" w:cs="Times New Roman"/>
          <w:b/>
          <w:bCs/>
          <w:sz w:val="24"/>
          <w:szCs w:val="24"/>
        </w:rPr>
      </w:pPr>
      <w:r w:rsidRPr="0049548F">
        <w:rPr>
          <w:rFonts w:ascii="Times New Roman Bold" w:hAnsi="Times New Roman Bold" w:cs="Times New Roman"/>
          <w:b/>
          <w:bCs/>
          <w:sz w:val="24"/>
          <w:szCs w:val="24"/>
        </w:rPr>
        <w:t xml:space="preserve">FERC Approval Date: </w:t>
      </w:r>
      <w:r w:rsidR="002A36D5">
        <w:rPr>
          <w:rFonts w:ascii="Times New Roman Bold" w:hAnsi="Times New Roman Bold" w:cs="Times New Roman"/>
          <w:b/>
          <w:bCs/>
          <w:sz w:val="24"/>
          <w:szCs w:val="24"/>
        </w:rPr>
        <w:t>7/18/2013</w:t>
      </w:r>
    </w:p>
    <w:p w:rsidR="008C462E" w:rsidRPr="0049548F" w:rsidRDefault="008C462E">
      <w:pPr>
        <w:widowControl w:val="0"/>
        <w:spacing w:line="120" w:lineRule="exact"/>
        <w:rPr>
          <w:rFonts w:ascii="Times New Roman Bold" w:hAnsi="Times New Roman Bold" w:cs="Times New Roman"/>
          <w:sz w:val="24"/>
          <w:szCs w:val="24"/>
        </w:rPr>
      </w:pPr>
    </w:p>
    <w:p w:rsidR="008C462E" w:rsidRPr="0049548F" w:rsidRDefault="008C462E">
      <w:pPr>
        <w:widowControl w:val="0"/>
        <w:tabs>
          <w:tab w:val="left" w:pos="480"/>
        </w:tabs>
        <w:spacing w:line="240" w:lineRule="exact"/>
        <w:rPr>
          <w:rFonts w:ascii="Times New Roman Bold" w:hAnsi="Times New Roman Bold" w:cs="Times New Roman"/>
          <w:b/>
          <w:bCs/>
          <w:sz w:val="24"/>
          <w:szCs w:val="24"/>
        </w:rPr>
      </w:pPr>
      <w:r w:rsidRPr="0049548F">
        <w:rPr>
          <w:rFonts w:ascii="Times New Roman Bold" w:hAnsi="Times New Roman Bold" w:cs="Times New Roman"/>
          <w:b/>
          <w:bCs/>
          <w:sz w:val="24"/>
          <w:szCs w:val="24"/>
        </w:rPr>
        <w:t>Reliability Standard Enforcem</w:t>
      </w:r>
      <w:r w:rsidR="0015310F" w:rsidRPr="0049548F">
        <w:rPr>
          <w:rFonts w:ascii="Times New Roman Bold" w:hAnsi="Times New Roman Bold" w:cs="Times New Roman"/>
          <w:b/>
          <w:bCs/>
          <w:sz w:val="24"/>
          <w:szCs w:val="24"/>
        </w:rPr>
        <w:t xml:space="preserve">ent Date in the United States: </w:t>
      </w:r>
      <w:r w:rsidR="002A36D5">
        <w:rPr>
          <w:rFonts w:ascii="Times New Roman Bold" w:hAnsi="Times New Roman Bold" w:cs="Times New Roman"/>
          <w:b/>
          <w:bCs/>
          <w:sz w:val="24"/>
          <w:szCs w:val="24"/>
        </w:rPr>
        <w:t>10</w:t>
      </w:r>
      <w:r w:rsidR="0049548F" w:rsidRPr="0049548F">
        <w:rPr>
          <w:rFonts w:ascii="Times New Roman Bold" w:hAnsi="Times New Roman Bold" w:cs="Times New Roman"/>
          <w:b/>
          <w:bCs/>
          <w:sz w:val="24"/>
          <w:szCs w:val="24"/>
        </w:rPr>
        <w:t>/01/201</w:t>
      </w:r>
      <w:r w:rsidR="002A36D5">
        <w:rPr>
          <w:rFonts w:ascii="Times New Roman Bold" w:hAnsi="Times New Roman Bold" w:cs="Times New Roman"/>
          <w:b/>
          <w:bCs/>
          <w:sz w:val="24"/>
          <w:szCs w:val="24"/>
        </w:rPr>
        <w:t>3</w:t>
      </w:r>
    </w:p>
    <w:p w:rsidR="008C462E" w:rsidRDefault="008C462E">
      <w:pPr>
        <w:widowControl w:val="0"/>
        <w:spacing w:line="240" w:lineRule="exact"/>
        <w:rPr>
          <w:rFonts w:ascii="Times New Roman" w:hAnsi="Times New Roman" w:cs="Times New Roman"/>
          <w:sz w:val="24"/>
          <w:szCs w:val="24"/>
        </w:rPr>
      </w:pPr>
    </w:p>
    <w:p w:rsidR="003231ED" w:rsidRDefault="003231ED" w:rsidP="001F7340">
      <w:pPr>
        <w:widowControl w:val="0"/>
        <w:tabs>
          <w:tab w:val="left" w:pos="720"/>
        </w:tabs>
        <w:spacing w:line="294" w:lineRule="exact"/>
        <w:ind w:left="720"/>
        <w:rPr>
          <w:rFonts w:ascii="Times New Roman" w:hAnsi="Times New Roman" w:cs="Times New Roman"/>
          <w:b/>
          <w:bCs/>
          <w:sz w:val="24"/>
          <w:szCs w:val="24"/>
        </w:rPr>
      </w:pPr>
    </w:p>
    <w:p w:rsidR="001F7340" w:rsidRDefault="001F7340" w:rsidP="001F7340">
      <w:pPr>
        <w:widowControl w:val="0"/>
        <w:tabs>
          <w:tab w:val="left" w:pos="720"/>
        </w:tabs>
        <w:spacing w:line="294" w:lineRule="exact"/>
        <w:ind w:left="720"/>
        <w:rPr>
          <w:rFonts w:ascii="Times New Roman" w:hAnsi="Times New Roman" w:cs="Times New Roman"/>
          <w:bCs/>
          <w:sz w:val="24"/>
          <w:szCs w:val="24"/>
        </w:rPr>
      </w:pPr>
      <w:r w:rsidRPr="003231ED">
        <w:rPr>
          <w:rFonts w:ascii="Times New Roman" w:hAnsi="Times New Roman" w:cs="Times New Roman"/>
          <w:b/>
          <w:bCs/>
          <w:sz w:val="24"/>
          <w:szCs w:val="24"/>
        </w:rPr>
        <w:t xml:space="preserve">Question: </w:t>
      </w:r>
      <w:r w:rsidRPr="003231ED">
        <w:rPr>
          <w:rFonts w:ascii="Times New Roman" w:hAnsi="Times New Roman" w:cs="Times New Roman"/>
          <w:bCs/>
          <w:sz w:val="24"/>
          <w:szCs w:val="24"/>
        </w:rPr>
        <w:t>As</w:t>
      </w:r>
      <w:r>
        <w:rPr>
          <w:rFonts w:ascii="Times New Roman" w:hAnsi="Times New Roman" w:cs="Times New Roman"/>
          <w:bCs/>
          <w:sz w:val="24"/>
          <w:szCs w:val="24"/>
        </w:rPr>
        <w:t xml:space="preserve"> a TOP, do you use the Area Interchange Methodology to Calculate the TTC for ATC paths? As a TSP, do you use the Area Interchange Methodology to Calculate ATC Paths?</w:t>
      </w:r>
    </w:p>
    <w:p w:rsidR="00E63AE9" w:rsidRDefault="00E63AE9" w:rsidP="001F7340">
      <w:pPr>
        <w:widowControl w:val="0"/>
        <w:tabs>
          <w:tab w:val="left" w:pos="720"/>
        </w:tabs>
        <w:spacing w:line="294" w:lineRule="exact"/>
        <w:ind w:left="720"/>
        <w:rPr>
          <w:rFonts w:ascii="Times New Roman" w:hAnsi="Times New Roman" w:cs="Times New Roman"/>
          <w:bCs/>
          <w:sz w:val="24"/>
          <w:szCs w:val="24"/>
        </w:rPr>
      </w:pPr>
    </w:p>
    <w:p w:rsidR="001F7340" w:rsidRDefault="00E63AE9" w:rsidP="001F7340">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Cs/>
          <w:sz w:val="24"/>
          <w:szCs w:val="24"/>
        </w:rPr>
        <w:t xml:space="preserve">If </w:t>
      </w:r>
      <w:r w:rsidR="003231ED">
        <w:rPr>
          <w:rFonts w:ascii="Times New Roman" w:hAnsi="Times New Roman" w:cs="Times New Roman"/>
          <w:bCs/>
          <w:sz w:val="24"/>
          <w:szCs w:val="24"/>
        </w:rPr>
        <w:t xml:space="preserve">the answer is </w:t>
      </w:r>
      <w:r>
        <w:rPr>
          <w:rFonts w:ascii="Times New Roman" w:hAnsi="Times New Roman" w:cs="Times New Roman"/>
          <w:bCs/>
          <w:sz w:val="24"/>
          <w:szCs w:val="24"/>
        </w:rPr>
        <w:t>no, this standard does not apply.</w:t>
      </w:r>
    </w:p>
    <w:p w:rsidR="003231ED" w:rsidRDefault="003231ED" w:rsidP="001F7340">
      <w:pPr>
        <w:widowControl w:val="0"/>
        <w:tabs>
          <w:tab w:val="left" w:pos="720"/>
        </w:tabs>
        <w:spacing w:line="294" w:lineRule="exact"/>
        <w:ind w:left="720"/>
        <w:rPr>
          <w:rFonts w:ascii="Times New Roman" w:hAnsi="Times New Roman" w:cs="Times New Roman"/>
          <w:bCs/>
          <w:sz w:val="24"/>
          <w:szCs w:val="24"/>
        </w:rPr>
      </w:pPr>
    </w:p>
    <w:p w:rsidR="001F7340" w:rsidRPr="009C039C" w:rsidRDefault="001F7340" w:rsidP="001F7340">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 xml:space="preserve"> (Registered Entity Response Required)</w:t>
      </w:r>
    </w:p>
    <w:p w:rsidR="001F7340" w:rsidRPr="001F467C" w:rsidRDefault="001F7340" w:rsidP="001F7340">
      <w:pPr>
        <w:widowControl w:val="0"/>
        <w:tabs>
          <w:tab w:val="left" w:pos="720"/>
        </w:tabs>
        <w:spacing w:line="186" w:lineRule="exact"/>
        <w:ind w:left="720"/>
        <w:rPr>
          <w:rFonts w:ascii="Times New Roman" w:hAnsi="Times New Roman" w:cs="Times New Roman"/>
          <w:sz w:val="24"/>
          <w:szCs w:val="24"/>
        </w:rPr>
      </w:pPr>
    </w:p>
    <w:p w:rsidR="001F7340" w:rsidRPr="001F467C" w:rsidRDefault="001F7340" w:rsidP="001F73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1F7340" w:rsidRPr="001F467C" w:rsidRDefault="001F7340" w:rsidP="001F73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96948" w:rsidRPr="001F467C" w:rsidRDefault="00C96948">
      <w:pPr>
        <w:widowControl w:val="0"/>
        <w:spacing w:line="240" w:lineRule="exact"/>
        <w:rPr>
          <w:rFonts w:ascii="Times New Roman" w:hAnsi="Times New Roman" w:cs="Times New Roman"/>
          <w:sz w:val="24"/>
          <w:szCs w:val="24"/>
        </w:rPr>
      </w:pPr>
    </w:p>
    <w:p w:rsidR="00D2641B" w:rsidRPr="002B3BBC" w:rsidRDefault="00D2641B">
      <w:pPr>
        <w:widowControl w:val="0"/>
        <w:spacing w:line="294" w:lineRule="exact"/>
        <w:rPr>
          <w:rFonts w:ascii="Times New Roman" w:hAnsi="Times New Roman" w:cs="Times New Roman"/>
          <w:b/>
          <w:bCs/>
          <w:color w:val="003366"/>
          <w:sz w:val="28"/>
          <w:szCs w:val="28"/>
        </w:rPr>
      </w:pPr>
      <w:r w:rsidRPr="002B3BBC">
        <w:rPr>
          <w:rFonts w:ascii="Times New Roman" w:hAnsi="Times New Roman" w:cs="Times New Roman"/>
          <w:b/>
          <w:bCs/>
          <w:color w:val="003366"/>
          <w:sz w:val="28"/>
          <w:szCs w:val="28"/>
        </w:rPr>
        <w:t>Requirements:</w:t>
      </w:r>
    </w:p>
    <w:p w:rsidR="002D1C0A" w:rsidRPr="001F467C" w:rsidRDefault="002D1C0A" w:rsidP="002D1C0A">
      <w:pPr>
        <w:pStyle w:val="Section"/>
        <w:numPr>
          <w:ilvl w:val="0"/>
          <w:numId w:val="0"/>
        </w:numPr>
        <w:rPr>
          <w:rFonts w:ascii="Times New Roman" w:hAnsi="Times New Roman"/>
          <w:sz w:val="24"/>
        </w:rPr>
      </w:pPr>
    </w:p>
    <w:p w:rsidR="00843AC4" w:rsidRPr="002765C3" w:rsidRDefault="00843AC4" w:rsidP="00843AC4">
      <w:pPr>
        <w:pStyle w:val="Requirement"/>
        <w:tabs>
          <w:tab w:val="clear" w:pos="720"/>
          <w:tab w:val="num" w:pos="936"/>
          <w:tab w:val="left" w:pos="2592"/>
        </w:tabs>
        <w:ind w:left="936" w:hanging="576"/>
        <w:rPr>
          <w:i/>
        </w:rPr>
      </w:pPr>
      <w:r w:rsidRPr="004F6C88">
        <w:t>Each Transmission Service Provider shall include in its Available Transfer Capability Implementation Document (ATCID), at a minimum, the following information</w:t>
      </w:r>
      <w:r>
        <w:t xml:space="preserve"> relative to its methodology for determining Total Transfer Capability (TTC)</w:t>
      </w:r>
      <w:r w:rsidRPr="004F6C88">
        <w:t xml:space="preserve">: </w:t>
      </w:r>
      <w:r w:rsidRPr="002765C3">
        <w:rPr>
          <w:i/>
        </w:rPr>
        <w:t>[Violation Risk Factor: Lower] [Time Horizon: Operations Planning]</w:t>
      </w:r>
    </w:p>
    <w:p w:rsidR="00843AC4" w:rsidRDefault="00843AC4" w:rsidP="00843AC4">
      <w:pPr>
        <w:pStyle w:val="Requirement"/>
        <w:numPr>
          <w:ilvl w:val="1"/>
          <w:numId w:val="5"/>
        </w:numPr>
        <w:tabs>
          <w:tab w:val="left" w:pos="2592"/>
        </w:tabs>
        <w:ind w:left="1728"/>
      </w:pPr>
      <w:r>
        <w:t xml:space="preserve">Information describing how the selected methodology has been implemented, in such detail that, given the same information used by the Transmission Operator, the results of the TTC calculations can be validated. </w:t>
      </w:r>
    </w:p>
    <w:p w:rsidR="00843AC4" w:rsidRDefault="00843AC4" w:rsidP="00843AC4">
      <w:pPr>
        <w:pStyle w:val="Requirement"/>
        <w:numPr>
          <w:ilvl w:val="1"/>
          <w:numId w:val="5"/>
        </w:numPr>
        <w:tabs>
          <w:tab w:val="left" w:pos="2592"/>
        </w:tabs>
        <w:ind w:left="1728"/>
      </w:pPr>
      <w:r>
        <w:t>A description of the manner in which the Transmission Operator will account for Interchange Schedules in the calculation of TTC.</w:t>
      </w:r>
    </w:p>
    <w:p w:rsidR="00843AC4" w:rsidRDefault="00843AC4" w:rsidP="00843AC4">
      <w:pPr>
        <w:pStyle w:val="Requirement"/>
        <w:numPr>
          <w:ilvl w:val="1"/>
          <w:numId w:val="5"/>
        </w:numPr>
        <w:tabs>
          <w:tab w:val="left" w:pos="2592"/>
        </w:tabs>
        <w:ind w:left="1728"/>
      </w:pPr>
      <w:r>
        <w:t>Any contractual obligations for allocation of TTC.</w:t>
      </w:r>
    </w:p>
    <w:p w:rsidR="00843AC4" w:rsidRDefault="00843AC4" w:rsidP="00843AC4">
      <w:pPr>
        <w:pStyle w:val="Requirement"/>
        <w:numPr>
          <w:ilvl w:val="1"/>
          <w:numId w:val="5"/>
        </w:numPr>
        <w:tabs>
          <w:tab w:val="left" w:pos="2592"/>
        </w:tabs>
        <w:ind w:left="1728"/>
      </w:pPr>
      <w:r>
        <w:t>A description of the manner in which Contingencies are identified for use in the TTC process.</w:t>
      </w:r>
    </w:p>
    <w:p w:rsidR="00843AC4" w:rsidRPr="00902D07" w:rsidRDefault="00843AC4" w:rsidP="00843AC4">
      <w:pPr>
        <w:pStyle w:val="Requirement"/>
        <w:numPr>
          <w:ilvl w:val="1"/>
          <w:numId w:val="5"/>
        </w:numPr>
        <w:tabs>
          <w:tab w:val="left" w:pos="2592"/>
        </w:tabs>
        <w:ind w:left="1728"/>
      </w:pPr>
      <w:r w:rsidRPr="00902D07">
        <w:t>The following information on how source and sink for transmission service is accounted for in ATC calculations including:</w:t>
      </w:r>
    </w:p>
    <w:p w:rsidR="00843AC4" w:rsidRPr="00902D07" w:rsidRDefault="00843AC4" w:rsidP="00843AC4">
      <w:pPr>
        <w:pStyle w:val="Requirement"/>
        <w:numPr>
          <w:ilvl w:val="2"/>
          <w:numId w:val="5"/>
        </w:numPr>
        <w:tabs>
          <w:tab w:val="left" w:pos="2592"/>
        </w:tabs>
        <w:ind w:left="2592"/>
        <w:rPr>
          <w:rFonts w:ascii="TimesNewRomanPSMT" w:hAnsi="TimesNewRomanPSMT" w:cs="TimesNewRomanPSMT"/>
        </w:rPr>
      </w:pPr>
      <w:r w:rsidRPr="00902D07">
        <w:rPr>
          <w:rFonts w:ascii="TimesNewRomanPSMT" w:hAnsi="TimesNewRomanPSMT" w:cs="TimesNewRomanPSMT"/>
        </w:rPr>
        <w:t>Define if the source used for A</w:t>
      </w:r>
      <w:r>
        <w:rPr>
          <w:rFonts w:ascii="TimesNewRomanPSMT" w:hAnsi="TimesNewRomanPSMT" w:cs="TimesNewRomanPSMT"/>
        </w:rPr>
        <w:t xml:space="preserve">vailable </w:t>
      </w:r>
      <w:r w:rsidRPr="00902D07">
        <w:rPr>
          <w:rFonts w:ascii="TimesNewRomanPSMT" w:hAnsi="TimesNewRomanPSMT" w:cs="TimesNewRomanPSMT"/>
        </w:rPr>
        <w:t>T</w:t>
      </w:r>
      <w:r>
        <w:rPr>
          <w:rFonts w:ascii="TimesNewRomanPSMT" w:hAnsi="TimesNewRomanPSMT" w:cs="TimesNewRomanPSMT"/>
        </w:rPr>
        <w:t xml:space="preserve">ransfer </w:t>
      </w:r>
      <w:r w:rsidRPr="00902D07">
        <w:rPr>
          <w:rFonts w:ascii="TimesNewRomanPSMT" w:hAnsi="TimesNewRomanPSMT" w:cs="TimesNewRomanPSMT"/>
        </w:rPr>
        <w:t>C</w:t>
      </w:r>
      <w:r>
        <w:rPr>
          <w:rFonts w:ascii="TimesNewRomanPSMT" w:hAnsi="TimesNewRomanPSMT" w:cs="TimesNewRomanPSMT"/>
        </w:rPr>
        <w:t>apability (ATC)</w:t>
      </w:r>
      <w:r w:rsidRPr="00902D07">
        <w:rPr>
          <w:rFonts w:ascii="TimesNewRomanPSMT" w:hAnsi="TimesNewRomanPSMT" w:cs="TimesNewRomanPSMT"/>
        </w:rPr>
        <w:t xml:space="preserve"> calculations is obtained from the source field or the </w:t>
      </w:r>
      <w:r>
        <w:rPr>
          <w:rFonts w:ascii="TimesNewRomanPSMT" w:hAnsi="TimesNewRomanPSMT" w:cs="TimesNewRomanPSMT"/>
        </w:rPr>
        <w:t>Point of Receipt (</w:t>
      </w:r>
      <w:r w:rsidRPr="00902D07">
        <w:rPr>
          <w:rFonts w:ascii="TimesNewRomanPSMT" w:hAnsi="TimesNewRomanPSMT" w:cs="TimesNewRomanPSMT"/>
        </w:rPr>
        <w:t>POR</w:t>
      </w:r>
      <w:r>
        <w:rPr>
          <w:rFonts w:ascii="TimesNewRomanPSMT" w:hAnsi="TimesNewRomanPSMT" w:cs="TimesNewRomanPSMT"/>
        </w:rPr>
        <w:t>)</w:t>
      </w:r>
      <w:r w:rsidRPr="00902D07">
        <w:rPr>
          <w:rFonts w:ascii="TimesNewRomanPSMT" w:hAnsi="TimesNewRomanPSMT" w:cs="TimesNewRomanPSMT"/>
        </w:rPr>
        <w:t xml:space="preserve"> field of the transmission reservation </w:t>
      </w:r>
    </w:p>
    <w:p w:rsidR="00843AC4" w:rsidRPr="00902D07" w:rsidRDefault="00843AC4" w:rsidP="00843AC4">
      <w:pPr>
        <w:pStyle w:val="Requirement"/>
        <w:numPr>
          <w:ilvl w:val="2"/>
          <w:numId w:val="5"/>
        </w:numPr>
        <w:tabs>
          <w:tab w:val="left" w:pos="2592"/>
        </w:tabs>
        <w:ind w:left="2592"/>
        <w:rPr>
          <w:rFonts w:ascii="TimesNewRomanPSMT" w:hAnsi="TimesNewRomanPSMT" w:cs="TimesNewRomanPSMT"/>
        </w:rPr>
      </w:pPr>
      <w:r w:rsidRPr="00902D07">
        <w:rPr>
          <w:rFonts w:ascii="TimesNewRomanPSMT" w:hAnsi="TimesNewRomanPSMT" w:cs="TimesNewRomanPSMT"/>
        </w:rPr>
        <w:t xml:space="preserve">Define if the sink used for ATC calculations is obtained from the sink field or the </w:t>
      </w:r>
      <w:r>
        <w:rPr>
          <w:rFonts w:ascii="TimesNewRomanPSMT" w:hAnsi="TimesNewRomanPSMT" w:cs="TimesNewRomanPSMT"/>
        </w:rPr>
        <w:t>Point of Delivery (</w:t>
      </w:r>
      <w:r w:rsidRPr="00902D07">
        <w:rPr>
          <w:rFonts w:ascii="TimesNewRomanPSMT" w:hAnsi="TimesNewRomanPSMT" w:cs="TimesNewRomanPSMT"/>
        </w:rPr>
        <w:t>POD</w:t>
      </w:r>
      <w:r>
        <w:rPr>
          <w:rFonts w:ascii="TimesNewRomanPSMT" w:hAnsi="TimesNewRomanPSMT" w:cs="TimesNewRomanPSMT"/>
        </w:rPr>
        <w:t>)</w:t>
      </w:r>
      <w:r w:rsidRPr="00902D07">
        <w:rPr>
          <w:rFonts w:ascii="TimesNewRomanPSMT" w:hAnsi="TimesNewRomanPSMT" w:cs="TimesNewRomanPSMT"/>
        </w:rPr>
        <w:t xml:space="preserve"> field of the transmission reservation</w:t>
      </w:r>
    </w:p>
    <w:p w:rsidR="00843AC4" w:rsidRPr="00902D07" w:rsidRDefault="00843AC4" w:rsidP="00843AC4">
      <w:pPr>
        <w:pStyle w:val="Requirement"/>
        <w:numPr>
          <w:ilvl w:val="2"/>
          <w:numId w:val="5"/>
        </w:numPr>
        <w:tabs>
          <w:tab w:val="left" w:pos="2592"/>
        </w:tabs>
        <w:ind w:left="2592"/>
        <w:rPr>
          <w:rFonts w:ascii="TimesNewRomanPSMT" w:hAnsi="TimesNewRomanPSMT" w:cs="TimesNewRomanPSMT"/>
        </w:rPr>
      </w:pPr>
      <w:r w:rsidRPr="00902D07">
        <w:rPr>
          <w:rFonts w:ascii="TimesNewRomanPSMT" w:hAnsi="TimesNewRomanPSMT" w:cs="TimesNewRomanPSMT"/>
        </w:rPr>
        <w:t xml:space="preserve">The source/sink or POR/POD identification and mapping to the model. </w:t>
      </w:r>
    </w:p>
    <w:p w:rsidR="00843AC4" w:rsidRDefault="00843AC4" w:rsidP="00843AC4">
      <w:pPr>
        <w:pStyle w:val="Requirement"/>
        <w:numPr>
          <w:ilvl w:val="2"/>
          <w:numId w:val="5"/>
        </w:numPr>
        <w:tabs>
          <w:tab w:val="left" w:pos="2592"/>
        </w:tabs>
        <w:ind w:left="2592"/>
      </w:pPr>
      <w:r w:rsidRPr="00902D07">
        <w:rPr>
          <w:rFonts w:ascii="TimesNewRomanPSMT" w:hAnsi="TimesNewRomanPSMT" w:cs="TimesNewRomanPSMT"/>
        </w:rPr>
        <w:t xml:space="preserve">If the </w:t>
      </w:r>
      <w:r>
        <w:rPr>
          <w:rFonts w:ascii="TimesNewRomanPSMT" w:hAnsi="TimesNewRomanPSMT" w:cs="TimesNewRomanPSMT"/>
        </w:rPr>
        <w:t>Transmission Service Provider’s</w:t>
      </w:r>
      <w:r w:rsidRPr="00902D07">
        <w:rPr>
          <w:rFonts w:ascii="TimesNewRomanPSMT" w:hAnsi="TimesNewRomanPSMT" w:cs="TimesNewRomanPSMT"/>
        </w:rPr>
        <w:t xml:space="preserve"> ATC calculation process involves a grouping of generation, the ATCID must identify how these generators participate in the group</w:t>
      </w:r>
      <w:r>
        <w:rPr>
          <w:rFonts w:ascii="TimesNewRomanPSMT" w:hAnsi="TimesNewRomanPSMT" w:cs="TimesNewRomanPSMT"/>
        </w:rPr>
        <w:t>.</w:t>
      </w:r>
    </w:p>
    <w:p w:rsidR="00BC4B46" w:rsidRDefault="0051368D" w:rsidP="00DB193C">
      <w:pPr>
        <w:widowControl w:val="0"/>
        <w:tabs>
          <w:tab w:val="left" w:pos="720"/>
        </w:tabs>
        <w:spacing w:line="294" w:lineRule="exact"/>
        <w:ind w:left="720"/>
        <w:rPr>
          <w:rFonts w:ascii="Times New Roman" w:hAnsi="Times New Roman" w:cs="Times New Roman"/>
          <w:b/>
          <w:bCs/>
          <w:sz w:val="24"/>
          <w:szCs w:val="24"/>
        </w:rPr>
      </w:pPr>
      <w:r w:rsidRPr="003231ED">
        <w:rPr>
          <w:rFonts w:ascii="Times New Roman" w:hAnsi="Times New Roman" w:cs="Times New Roman"/>
          <w:b/>
          <w:bCs/>
          <w:sz w:val="24"/>
          <w:szCs w:val="24"/>
        </w:rPr>
        <w:t xml:space="preserve">Question: </w:t>
      </w:r>
      <w:r w:rsidR="00573027">
        <w:rPr>
          <w:rFonts w:ascii="Times New Roman" w:hAnsi="Times New Roman" w:cs="Times New Roman"/>
          <w:b/>
          <w:bCs/>
          <w:sz w:val="24"/>
          <w:szCs w:val="24"/>
        </w:rPr>
        <w:t>(</w:t>
      </w:r>
      <w:r w:rsidR="008366C5">
        <w:rPr>
          <w:rFonts w:ascii="Times New Roman" w:hAnsi="Times New Roman" w:cs="Times New Roman"/>
          <w:b/>
          <w:bCs/>
          <w:sz w:val="24"/>
          <w:szCs w:val="24"/>
        </w:rPr>
        <w:t>R1.5.4</w:t>
      </w:r>
      <w:r w:rsidR="00573027">
        <w:rPr>
          <w:rFonts w:ascii="Times New Roman" w:hAnsi="Times New Roman" w:cs="Times New Roman"/>
          <w:b/>
          <w:bCs/>
          <w:sz w:val="24"/>
          <w:szCs w:val="24"/>
        </w:rPr>
        <w:t>)</w:t>
      </w:r>
      <w:r w:rsidR="008366C5">
        <w:rPr>
          <w:rFonts w:ascii="Times New Roman" w:hAnsi="Times New Roman" w:cs="Times New Roman"/>
          <w:b/>
          <w:bCs/>
          <w:sz w:val="24"/>
          <w:szCs w:val="24"/>
        </w:rPr>
        <w:t xml:space="preserve"> </w:t>
      </w:r>
      <w:r w:rsidRPr="00606BE4">
        <w:rPr>
          <w:rFonts w:ascii="TimesNewRomanPSMT" w:hAnsi="TimesNewRomanPSMT" w:cs="TimesNewRomanPSMT"/>
          <w:sz w:val="24"/>
          <w:szCs w:val="24"/>
        </w:rPr>
        <w:t>Does the TSP’s ATC calculation process involve a grouping of generation?</w:t>
      </w:r>
      <w:r>
        <w:rPr>
          <w:rFonts w:ascii="TimesNewRomanPSMT" w:hAnsi="TimesNewRomanPSMT" w:cs="TimesNewRomanPSMT"/>
          <w:sz w:val="24"/>
          <w:szCs w:val="24"/>
        </w:rPr>
        <w:t xml:space="preserve"> If yes, provide evidence </w:t>
      </w:r>
      <w:r w:rsidR="008366C5">
        <w:rPr>
          <w:rFonts w:ascii="TimesNewRomanPSMT" w:hAnsi="TimesNewRomanPSMT" w:cs="TimesNewRomanPSMT"/>
          <w:sz w:val="24"/>
          <w:szCs w:val="24"/>
        </w:rPr>
        <w:t>the ATCID identifies how these generators participate in the group</w:t>
      </w:r>
      <w:r>
        <w:rPr>
          <w:rFonts w:ascii="TimesNewRomanPSMT" w:hAnsi="TimesNewRomanPSMT" w:cs="TimesNewRomanPSMT"/>
          <w:sz w:val="24"/>
          <w:szCs w:val="24"/>
        </w:rPr>
        <w:t>.</w:t>
      </w:r>
    </w:p>
    <w:p w:rsidR="00606BE4" w:rsidRPr="00606BE4" w:rsidRDefault="00606BE4" w:rsidP="0051368D">
      <w:pPr>
        <w:tabs>
          <w:tab w:val="left" w:pos="1350"/>
          <w:tab w:val="left" w:pos="1530"/>
        </w:tabs>
        <w:ind w:left="1980" w:hanging="1974"/>
        <w:rPr>
          <w:rFonts w:ascii="Times New Roman" w:hAnsi="Times New Roman" w:cs="Times New Roman"/>
          <w:b/>
          <w:bCs/>
          <w:color w:val="264D74"/>
          <w:sz w:val="24"/>
          <w:szCs w:val="24"/>
        </w:rPr>
      </w:pPr>
      <w:r>
        <w:rPr>
          <w:rFonts w:ascii="Times New Roman" w:hAnsi="Times New Roman" w:cs="Times New Roman"/>
          <w:b/>
          <w:bCs/>
          <w:color w:val="264D74"/>
          <w:sz w:val="24"/>
          <w:szCs w:val="24"/>
        </w:rPr>
        <w:tab/>
      </w:r>
    </w:p>
    <w:p w:rsidR="0051368D" w:rsidRPr="009C039C" w:rsidRDefault="00606BE4" w:rsidP="0051368D">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color w:val="365F91"/>
          <w:sz w:val="24"/>
          <w:szCs w:val="24"/>
        </w:rPr>
        <w:tab/>
      </w:r>
      <w:r w:rsidR="00F4702D">
        <w:rPr>
          <w:rFonts w:ascii="Times New Roman" w:hAnsi="Times New Roman" w:cs="Times New Roman"/>
          <w:color w:val="365F91"/>
          <w:sz w:val="24"/>
          <w:szCs w:val="24"/>
        </w:rPr>
        <w:t>(</w:t>
      </w:r>
      <w:r w:rsidR="0051368D" w:rsidRPr="009C039C">
        <w:rPr>
          <w:rFonts w:ascii="Times New Roman" w:hAnsi="Times New Roman" w:cs="Times New Roman"/>
          <w:b/>
          <w:bCs/>
          <w:i/>
          <w:iCs/>
          <w:color w:val="000000"/>
          <w:sz w:val="24"/>
          <w:szCs w:val="24"/>
        </w:rPr>
        <w:t>Registered Entity Response Required)</w:t>
      </w:r>
    </w:p>
    <w:p w:rsidR="0051368D" w:rsidRPr="001F467C" w:rsidRDefault="0051368D" w:rsidP="0051368D">
      <w:pPr>
        <w:widowControl w:val="0"/>
        <w:tabs>
          <w:tab w:val="left" w:pos="720"/>
        </w:tabs>
        <w:spacing w:line="186" w:lineRule="exact"/>
        <w:ind w:left="720"/>
        <w:rPr>
          <w:rFonts w:ascii="Times New Roman" w:hAnsi="Times New Roman" w:cs="Times New Roman"/>
          <w:sz w:val="24"/>
          <w:szCs w:val="24"/>
        </w:rPr>
      </w:pPr>
    </w:p>
    <w:p w:rsidR="0051368D" w:rsidRDefault="0051368D" w:rsidP="005136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986BD2" w:rsidRPr="001F467C" w:rsidRDefault="00986BD2" w:rsidP="0051368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06BE4" w:rsidRDefault="00606BE4" w:rsidP="00C70356">
      <w:pPr>
        <w:autoSpaceDE/>
        <w:autoSpaceDN/>
        <w:adjustRightInd/>
        <w:rPr>
          <w:rFonts w:ascii="Times New Roman" w:hAnsi="Times New Roman" w:cs="Times New Roman"/>
          <w:b/>
          <w:bCs/>
          <w:sz w:val="24"/>
          <w:szCs w:val="24"/>
        </w:rPr>
      </w:pPr>
      <w:r>
        <w:rPr>
          <w:rFonts w:ascii="Times New Roman" w:hAnsi="Times New Roman" w:cs="Times New Roman"/>
          <w:color w:val="365F91"/>
          <w:sz w:val="24"/>
          <w:szCs w:val="24"/>
        </w:rPr>
        <w:t xml:space="preserve">           </w:t>
      </w: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70356" w:rsidRDefault="00C70356" w:rsidP="00884825">
      <w:pPr>
        <w:pStyle w:val="Heading1"/>
      </w:pPr>
    </w:p>
    <w:p w:rsidR="00B53833" w:rsidRPr="00884825" w:rsidRDefault="00B53833" w:rsidP="00884825">
      <w:pPr>
        <w:pStyle w:val="Heading1"/>
      </w:pPr>
      <w:r w:rsidRPr="00884825">
        <w:t>R1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A52681" w:rsidRDefault="00A52681"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49548F">
        <w:rPr>
          <w:rFonts w:ascii="Times New Roman" w:hAnsi="Times New Roman" w:cs="Times New Roman"/>
          <w:b/>
          <w:bCs/>
          <w:color w:val="264D74"/>
          <w:sz w:val="24"/>
          <w:szCs w:val="24"/>
        </w:rPr>
        <w:t>28</w:t>
      </w:r>
      <w:r w:rsidR="001D0C8A">
        <w:rPr>
          <w:rFonts w:ascii="Times New Roman" w:hAnsi="Times New Roman" w:cs="Times New Roman"/>
          <w:b/>
          <w:bCs/>
          <w:color w:val="264D74"/>
          <w:sz w:val="24"/>
          <w:szCs w:val="24"/>
        </w:rPr>
        <w:t>-</w:t>
      </w:r>
      <w:r w:rsidR="002A36D5">
        <w:rPr>
          <w:rFonts w:ascii="Times New Roman" w:hAnsi="Times New Roman" w:cs="Times New Roman"/>
          <w:b/>
          <w:bCs/>
          <w:color w:val="264D74"/>
          <w:sz w:val="24"/>
          <w:szCs w:val="24"/>
        </w:rPr>
        <w:t>2</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CD71C0" w:rsidRDefault="00001BFE" w:rsidP="00001BFE">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CD71C0">
        <w:rPr>
          <w:rFonts w:ascii="Times New Roman" w:hAnsi="Times New Roman" w:cs="Times New Roman"/>
          <w:color w:val="365F91"/>
          <w:sz w:val="24"/>
          <w:szCs w:val="24"/>
        </w:rPr>
        <w:t>Review the ATC</w:t>
      </w:r>
      <w:r w:rsidR="00497072">
        <w:rPr>
          <w:rFonts w:ascii="Times New Roman" w:hAnsi="Times New Roman" w:cs="Times New Roman"/>
          <w:color w:val="365F91"/>
          <w:sz w:val="24"/>
          <w:szCs w:val="24"/>
        </w:rPr>
        <w:t>ID</w:t>
      </w:r>
      <w:r w:rsidR="00CD71C0">
        <w:rPr>
          <w:rFonts w:ascii="Times New Roman" w:hAnsi="Times New Roman" w:cs="Times New Roman"/>
          <w:color w:val="365F91"/>
          <w:sz w:val="24"/>
          <w:szCs w:val="24"/>
        </w:rPr>
        <w:t xml:space="preserve">; </w:t>
      </w:r>
    </w:p>
    <w:p w:rsidR="00CD71C0" w:rsidRDefault="00CD71C0" w:rsidP="00001BFE">
      <w:pPr>
        <w:ind w:left="1530" w:hanging="1174"/>
        <w:rPr>
          <w:rFonts w:ascii="Times New Roman" w:hAnsi="Times New Roman" w:cs="Times New Roman"/>
          <w:color w:val="365F91"/>
          <w:sz w:val="24"/>
          <w:szCs w:val="24"/>
        </w:rPr>
      </w:pPr>
    </w:p>
    <w:p w:rsidR="00CD71C0" w:rsidRPr="005E50A4" w:rsidRDefault="00001BFE" w:rsidP="00872855">
      <w:pPr>
        <w:tabs>
          <w:tab w:val="left" w:pos="990"/>
          <w:tab w:val="left" w:pos="1440"/>
        </w:tabs>
        <w:ind w:left="1530" w:hanging="117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sidR="00CD71C0">
        <w:rPr>
          <w:rFonts w:ascii="Times New Roman" w:hAnsi="Times New Roman" w:cs="Times New Roman"/>
          <w:color w:val="365F91"/>
          <w:sz w:val="24"/>
          <w:szCs w:val="24"/>
        </w:rPr>
        <w:t>Verify the entity, at a minimum, has included the following information relative for determining its methodology for determining TTC:</w:t>
      </w:r>
    </w:p>
    <w:p w:rsidR="00001BFE" w:rsidRPr="005E50A4" w:rsidRDefault="00001BFE" w:rsidP="00001BFE">
      <w:pPr>
        <w:ind w:left="356"/>
        <w:rPr>
          <w:rFonts w:ascii="Times New Roman" w:hAnsi="Times New Roman" w:cs="Times New Roman"/>
          <w:color w:val="365F91"/>
          <w:sz w:val="24"/>
          <w:szCs w:val="24"/>
        </w:rPr>
      </w:pPr>
    </w:p>
    <w:p w:rsidR="00001BFE" w:rsidRPr="005E50A4" w:rsidRDefault="00001BFE" w:rsidP="00CD71C0">
      <w:pPr>
        <w:ind w:left="1980" w:hanging="162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E63AE9">
        <w:rPr>
          <w:rFonts w:ascii="Times New Roman" w:hAnsi="Times New Roman" w:cs="Times New Roman"/>
          <w:color w:val="365F91"/>
          <w:sz w:val="24"/>
          <w:szCs w:val="24"/>
        </w:rPr>
        <w:t>The</w:t>
      </w:r>
      <w:r w:rsidR="00CD71C0">
        <w:rPr>
          <w:rFonts w:ascii="Times New Roman" w:hAnsi="Times New Roman" w:cs="Times New Roman"/>
          <w:color w:val="365F91"/>
          <w:sz w:val="24"/>
          <w:szCs w:val="24"/>
        </w:rPr>
        <w:t xml:space="preserve"> information provided describes how the selected methodology has been implemented so that given the same information the TOP can validate the TTC.</w:t>
      </w:r>
    </w:p>
    <w:p w:rsidR="00001BFE" w:rsidRPr="005E50A4" w:rsidRDefault="00001BFE" w:rsidP="00001BFE">
      <w:pPr>
        <w:ind w:left="360"/>
        <w:rPr>
          <w:rFonts w:ascii="Times New Roman" w:hAnsi="Times New Roman" w:cs="Times New Roman"/>
          <w:color w:val="365F91"/>
          <w:sz w:val="24"/>
          <w:szCs w:val="24"/>
        </w:rPr>
      </w:pPr>
    </w:p>
    <w:p w:rsidR="00001BFE" w:rsidRPr="005E50A4" w:rsidRDefault="00001BFE" w:rsidP="00001BFE">
      <w:pPr>
        <w:ind w:left="1980" w:hanging="198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E63AE9">
        <w:rPr>
          <w:rFonts w:ascii="Times New Roman" w:hAnsi="Times New Roman" w:cs="Times New Roman"/>
          <w:color w:val="365F91"/>
          <w:sz w:val="24"/>
          <w:szCs w:val="24"/>
        </w:rPr>
        <w:t>The</w:t>
      </w:r>
      <w:r w:rsidR="00CD71C0">
        <w:rPr>
          <w:rFonts w:ascii="Times New Roman" w:hAnsi="Times New Roman" w:cs="Times New Roman"/>
          <w:color w:val="365F91"/>
          <w:sz w:val="24"/>
          <w:szCs w:val="24"/>
        </w:rPr>
        <w:t xml:space="preserve"> methodology describes how the </w:t>
      </w:r>
      <w:r w:rsidR="008805C1">
        <w:rPr>
          <w:rFonts w:ascii="Times New Roman" w:hAnsi="Times New Roman" w:cs="Times New Roman"/>
          <w:color w:val="365F91"/>
          <w:sz w:val="24"/>
          <w:szCs w:val="24"/>
        </w:rPr>
        <w:t xml:space="preserve">TOP will account for Interchange </w:t>
      </w:r>
      <w:r w:rsidR="00497072">
        <w:rPr>
          <w:rFonts w:ascii="Times New Roman" w:hAnsi="Times New Roman" w:cs="Times New Roman"/>
          <w:color w:val="365F91"/>
          <w:sz w:val="24"/>
          <w:szCs w:val="24"/>
        </w:rPr>
        <w:t>S</w:t>
      </w:r>
      <w:r w:rsidR="008805C1">
        <w:rPr>
          <w:rFonts w:ascii="Times New Roman" w:hAnsi="Times New Roman" w:cs="Times New Roman"/>
          <w:color w:val="365F91"/>
          <w:sz w:val="24"/>
          <w:szCs w:val="24"/>
        </w:rPr>
        <w:t xml:space="preserve">chedules in the </w:t>
      </w:r>
      <w:r w:rsidR="00497072">
        <w:rPr>
          <w:rFonts w:ascii="Times New Roman" w:hAnsi="Times New Roman" w:cs="Times New Roman"/>
          <w:color w:val="365F91"/>
          <w:sz w:val="24"/>
          <w:szCs w:val="24"/>
        </w:rPr>
        <w:t xml:space="preserve">calculation of the </w:t>
      </w:r>
      <w:r w:rsidR="008805C1">
        <w:rPr>
          <w:rFonts w:ascii="Times New Roman" w:hAnsi="Times New Roman" w:cs="Times New Roman"/>
          <w:color w:val="365F91"/>
          <w:sz w:val="24"/>
          <w:szCs w:val="24"/>
        </w:rPr>
        <w:t xml:space="preserve">TTC. </w:t>
      </w:r>
    </w:p>
    <w:p w:rsidR="00001BFE" w:rsidRPr="005E50A4" w:rsidRDefault="00001BFE" w:rsidP="00001BFE">
      <w:pPr>
        <w:rPr>
          <w:rFonts w:ascii="Times New Roman" w:hAnsi="Times New Roman" w:cs="Times New Roman"/>
          <w:color w:val="365F91"/>
          <w:sz w:val="24"/>
          <w:szCs w:val="24"/>
        </w:rPr>
      </w:pPr>
    </w:p>
    <w:p w:rsidR="00001BFE" w:rsidRDefault="00001BFE" w:rsidP="00001BFE">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___</w:t>
      </w:r>
      <w:r w:rsidRPr="005E50A4">
        <w:rPr>
          <w:rFonts w:ascii="Times New Roman" w:hAnsi="Times New Roman" w:cs="Times New Roman"/>
          <w:color w:val="365F91"/>
          <w:sz w:val="24"/>
          <w:szCs w:val="24"/>
        </w:rPr>
        <w:t xml:space="preserve"> </w:t>
      </w:r>
      <w:r w:rsidR="00E63AE9">
        <w:rPr>
          <w:rFonts w:ascii="Times New Roman" w:hAnsi="Times New Roman" w:cs="Times New Roman"/>
          <w:color w:val="365F91"/>
          <w:sz w:val="24"/>
          <w:szCs w:val="24"/>
        </w:rPr>
        <w:t>The</w:t>
      </w:r>
      <w:r w:rsidR="008805C1">
        <w:rPr>
          <w:rFonts w:ascii="Times New Roman" w:hAnsi="Times New Roman" w:cs="Times New Roman"/>
          <w:color w:val="365F91"/>
          <w:sz w:val="24"/>
          <w:szCs w:val="24"/>
        </w:rPr>
        <w:t xml:space="preserve"> methodology identifies any contractual obligations for the allocation of TTC. </w:t>
      </w:r>
    </w:p>
    <w:p w:rsidR="00E63AE9" w:rsidRPr="005E50A4" w:rsidRDefault="00E63AE9" w:rsidP="00001BFE">
      <w:pPr>
        <w:ind w:left="360"/>
        <w:rPr>
          <w:rFonts w:ascii="Times New Roman" w:hAnsi="Times New Roman" w:cs="Times New Roman"/>
          <w:color w:val="365F91"/>
          <w:sz w:val="24"/>
          <w:szCs w:val="24"/>
        </w:rPr>
      </w:pPr>
    </w:p>
    <w:p w:rsidR="00001BFE" w:rsidRDefault="00872855" w:rsidP="001F15A2">
      <w:pPr>
        <w:tabs>
          <w:tab w:val="left" w:pos="630"/>
          <w:tab w:val="left" w:pos="990"/>
        </w:tabs>
        <w:ind w:left="1440" w:hanging="1979"/>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00001BFE"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 xml:space="preserve">         </w:t>
      </w:r>
      <w:r w:rsidR="00001BFE" w:rsidRPr="005E50A4">
        <w:rPr>
          <w:rFonts w:ascii="Times New Roman" w:hAnsi="Times New Roman" w:cs="Times New Roman"/>
          <w:bCs/>
          <w:color w:val="365F91"/>
          <w:sz w:val="24"/>
          <w:szCs w:val="24"/>
        </w:rPr>
        <w:t>___</w:t>
      </w:r>
      <w:r w:rsidR="00001BFE" w:rsidRPr="005E50A4">
        <w:rPr>
          <w:rFonts w:ascii="Times New Roman" w:hAnsi="Times New Roman" w:cs="Times New Roman"/>
          <w:color w:val="365F91"/>
          <w:sz w:val="24"/>
          <w:szCs w:val="24"/>
        </w:rPr>
        <w:t xml:space="preserve"> </w:t>
      </w:r>
      <w:r w:rsidR="00E63AE9">
        <w:rPr>
          <w:rFonts w:ascii="Times New Roman" w:hAnsi="Times New Roman" w:cs="Times New Roman"/>
          <w:color w:val="365F91"/>
          <w:sz w:val="24"/>
          <w:szCs w:val="24"/>
        </w:rPr>
        <w:t>T</w:t>
      </w:r>
      <w:r w:rsidR="0071570E">
        <w:rPr>
          <w:rFonts w:ascii="Times New Roman" w:hAnsi="Times New Roman" w:cs="Times New Roman"/>
          <w:color w:val="365F91"/>
          <w:sz w:val="24"/>
          <w:szCs w:val="24"/>
        </w:rPr>
        <w:t xml:space="preserve">he methodology describes how Contingencies are identified for use in the TTC </w:t>
      </w:r>
      <w:r w:rsidR="0071570E">
        <w:rPr>
          <w:rFonts w:ascii="Times New Roman" w:hAnsi="Times New Roman" w:cs="Times New Roman"/>
          <w:color w:val="365F91"/>
          <w:sz w:val="24"/>
          <w:szCs w:val="24"/>
        </w:rPr>
        <w:tab/>
        <w:t>process.</w:t>
      </w:r>
    </w:p>
    <w:p w:rsidR="00872855" w:rsidRDefault="00872855" w:rsidP="0071570E">
      <w:pPr>
        <w:ind w:left="1980" w:hanging="1979"/>
        <w:rPr>
          <w:rFonts w:ascii="Times New Roman" w:hAnsi="Times New Roman" w:cs="Times New Roman"/>
          <w:color w:val="365F91"/>
          <w:sz w:val="24"/>
          <w:szCs w:val="24"/>
        </w:rPr>
      </w:pPr>
    </w:p>
    <w:p w:rsidR="00872855" w:rsidRDefault="00872855" w:rsidP="00872855">
      <w:pPr>
        <w:ind w:left="990" w:hanging="985"/>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E63AE9">
        <w:rPr>
          <w:rFonts w:ascii="Times New Roman" w:hAnsi="Times New Roman" w:cs="Times New Roman"/>
          <w:color w:val="365F91"/>
          <w:sz w:val="24"/>
          <w:szCs w:val="24"/>
        </w:rPr>
        <w:t>The methodology</w:t>
      </w:r>
      <w:r>
        <w:rPr>
          <w:rFonts w:ascii="Times New Roman" w:hAnsi="Times New Roman" w:cs="Times New Roman"/>
          <w:color w:val="365F91"/>
          <w:sz w:val="24"/>
          <w:szCs w:val="24"/>
        </w:rPr>
        <w:t xml:space="preserve"> includes </w:t>
      </w:r>
      <w:r w:rsidR="00ED5E97">
        <w:rPr>
          <w:rFonts w:ascii="Times New Roman" w:hAnsi="Times New Roman" w:cs="Times New Roman"/>
          <w:color w:val="365F91"/>
          <w:sz w:val="24"/>
          <w:szCs w:val="24"/>
        </w:rPr>
        <w:t>information on how source and sink</w:t>
      </w:r>
      <w:r w:rsidR="00347B9A">
        <w:rPr>
          <w:rFonts w:ascii="Times New Roman" w:hAnsi="Times New Roman" w:cs="Times New Roman"/>
          <w:color w:val="365F91"/>
          <w:sz w:val="24"/>
          <w:szCs w:val="24"/>
        </w:rPr>
        <w:t xml:space="preserve"> for</w:t>
      </w:r>
      <w:r w:rsidR="00ED5E97">
        <w:rPr>
          <w:rFonts w:ascii="Times New Roman" w:hAnsi="Times New Roman" w:cs="Times New Roman"/>
          <w:color w:val="365F91"/>
          <w:sz w:val="24"/>
          <w:szCs w:val="24"/>
        </w:rPr>
        <w:t xml:space="preserve"> transmission service is accounted for in ATC calculations:</w:t>
      </w:r>
      <w:r>
        <w:rPr>
          <w:rFonts w:ascii="Times New Roman" w:hAnsi="Times New Roman" w:cs="Times New Roman"/>
          <w:color w:val="365F91"/>
          <w:sz w:val="24"/>
          <w:szCs w:val="24"/>
        </w:rPr>
        <w:t xml:space="preserve"> </w:t>
      </w:r>
    </w:p>
    <w:p w:rsidR="00001BFE" w:rsidRDefault="0071570E" w:rsidP="0071570E">
      <w:pPr>
        <w:rPr>
          <w:rFonts w:ascii="Times New Roman" w:hAnsi="Times New Roman" w:cs="Times New Roman"/>
          <w:b/>
          <w:bCs/>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8805C1" w:rsidRDefault="00872855" w:rsidP="00ED5E97">
      <w:pPr>
        <w:ind w:left="1530" w:hanging="1528"/>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008805C1" w:rsidRPr="005E50A4">
        <w:rPr>
          <w:rFonts w:ascii="Times New Roman" w:hAnsi="Times New Roman" w:cs="Times New Roman"/>
          <w:bCs/>
          <w:color w:val="365F91"/>
          <w:sz w:val="24"/>
          <w:szCs w:val="24"/>
        </w:rPr>
        <w:t>___</w:t>
      </w:r>
      <w:r w:rsidR="008805C1" w:rsidRPr="005E50A4">
        <w:rPr>
          <w:rFonts w:ascii="Times New Roman" w:hAnsi="Times New Roman" w:cs="Times New Roman"/>
          <w:color w:val="365F91"/>
          <w:sz w:val="24"/>
          <w:szCs w:val="24"/>
        </w:rPr>
        <w:t xml:space="preserve"> </w:t>
      </w:r>
      <w:r w:rsidR="00ED5E97">
        <w:rPr>
          <w:rFonts w:ascii="Times New Roman" w:hAnsi="Times New Roman" w:cs="Times New Roman"/>
          <w:color w:val="365F91"/>
          <w:sz w:val="24"/>
          <w:szCs w:val="24"/>
        </w:rPr>
        <w:t>Determine whether the source used for ATC is obtained from the:</w:t>
      </w: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Source field in the transmission reservation</w:t>
      </w:r>
      <w:r w:rsidR="00573027">
        <w:rPr>
          <w:rFonts w:ascii="Times New Roman" w:hAnsi="Times New Roman" w:cs="Times New Roman"/>
          <w:color w:val="365F91"/>
          <w:sz w:val="24"/>
          <w:szCs w:val="24"/>
        </w:rPr>
        <w:t>.</w:t>
      </w:r>
    </w:p>
    <w:p w:rsidR="00ED5E97" w:rsidRDefault="00ED5E97" w:rsidP="00ED5E97">
      <w:pPr>
        <w:ind w:left="1980" w:hanging="1976"/>
        <w:rPr>
          <w:rFonts w:ascii="Times New Roman" w:hAnsi="Times New Roman" w:cs="Times New Roman"/>
          <w:color w:val="365F91"/>
          <w:sz w:val="24"/>
          <w:szCs w:val="24"/>
        </w:rPr>
      </w:pP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t>(or)</w:t>
      </w:r>
    </w:p>
    <w:p w:rsidR="00ED5E97" w:rsidRDefault="00ED5E97" w:rsidP="00ED5E97">
      <w:pPr>
        <w:ind w:left="1980" w:hanging="1976"/>
        <w:rPr>
          <w:rFonts w:ascii="Times New Roman" w:hAnsi="Times New Roman" w:cs="Times New Roman"/>
          <w:color w:val="365F91"/>
          <w:sz w:val="24"/>
          <w:szCs w:val="24"/>
        </w:rPr>
      </w:pP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POR field in the transmission reservation</w:t>
      </w:r>
      <w:r w:rsidR="00573027">
        <w:rPr>
          <w:rFonts w:ascii="Times New Roman" w:hAnsi="Times New Roman" w:cs="Times New Roman"/>
          <w:color w:val="365F91"/>
          <w:sz w:val="24"/>
          <w:szCs w:val="24"/>
        </w:rPr>
        <w:t>.</w:t>
      </w:r>
    </w:p>
    <w:p w:rsidR="00ED5E97" w:rsidRDefault="00ED5E97" w:rsidP="00ED5E97">
      <w:pPr>
        <w:ind w:left="1980" w:hanging="1976"/>
        <w:rPr>
          <w:rFonts w:ascii="Times New Roman" w:hAnsi="Times New Roman" w:cs="Times New Roman"/>
          <w:color w:val="365F91"/>
          <w:sz w:val="24"/>
          <w:szCs w:val="24"/>
        </w:rPr>
      </w:pPr>
    </w:p>
    <w:p w:rsidR="00ED5E97" w:rsidRDefault="00ED5E97" w:rsidP="00ED5E97">
      <w:pPr>
        <w:ind w:left="1530" w:hanging="1528"/>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Determine if the sink used for ATC calculation is obtained from the:</w:t>
      </w:r>
    </w:p>
    <w:p w:rsidR="00ED5E97" w:rsidRDefault="00ED5E97" w:rsidP="00ED5E97">
      <w:pPr>
        <w:ind w:left="1530" w:hanging="1528"/>
        <w:rPr>
          <w:rFonts w:ascii="Times New Roman" w:hAnsi="Times New Roman" w:cs="Times New Roman"/>
          <w:color w:val="365F91"/>
          <w:sz w:val="24"/>
          <w:szCs w:val="24"/>
        </w:rPr>
      </w:pP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Sink field in the transmission reservation</w:t>
      </w:r>
      <w:r w:rsidR="00573027">
        <w:rPr>
          <w:rFonts w:ascii="Times New Roman" w:hAnsi="Times New Roman" w:cs="Times New Roman"/>
          <w:color w:val="365F91"/>
          <w:sz w:val="24"/>
          <w:szCs w:val="24"/>
        </w:rPr>
        <w:t>.</w:t>
      </w:r>
    </w:p>
    <w:p w:rsidR="00ED5E97" w:rsidRDefault="00ED5E97" w:rsidP="00ED5E97">
      <w:pPr>
        <w:ind w:left="1980" w:hanging="1976"/>
        <w:rPr>
          <w:rFonts w:ascii="Times New Roman" w:hAnsi="Times New Roman" w:cs="Times New Roman"/>
          <w:color w:val="365F91"/>
          <w:sz w:val="24"/>
          <w:szCs w:val="24"/>
        </w:rPr>
      </w:pP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t>(or)</w:t>
      </w:r>
    </w:p>
    <w:p w:rsidR="00ED5E97" w:rsidRDefault="00ED5E97" w:rsidP="00ED5E97">
      <w:pPr>
        <w:ind w:left="1980" w:hanging="1976"/>
        <w:rPr>
          <w:rFonts w:ascii="Times New Roman" w:hAnsi="Times New Roman" w:cs="Times New Roman"/>
          <w:color w:val="365F91"/>
          <w:sz w:val="24"/>
          <w:szCs w:val="24"/>
        </w:rPr>
      </w:pPr>
    </w:p>
    <w:p w:rsidR="00ED5E97" w:rsidRDefault="00ED5E97" w:rsidP="00ED5E97">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POD field in the transmission reservation</w:t>
      </w:r>
      <w:r w:rsidR="00573027">
        <w:rPr>
          <w:rFonts w:ascii="Times New Roman" w:hAnsi="Times New Roman" w:cs="Times New Roman"/>
          <w:color w:val="365F91"/>
          <w:sz w:val="24"/>
          <w:szCs w:val="24"/>
        </w:rPr>
        <w:t>.</w:t>
      </w:r>
    </w:p>
    <w:p w:rsidR="00ED5E97" w:rsidRDefault="00ED5E97" w:rsidP="00ED5E97">
      <w:pPr>
        <w:ind w:left="1530" w:hanging="1528"/>
        <w:rPr>
          <w:rFonts w:ascii="Times New Roman" w:hAnsi="Times New Roman" w:cs="Times New Roman"/>
          <w:color w:val="365F91"/>
          <w:sz w:val="24"/>
          <w:szCs w:val="24"/>
        </w:rPr>
      </w:pPr>
    </w:p>
    <w:p w:rsidR="00337C39" w:rsidRDefault="00ED5E97" w:rsidP="00ED5E97">
      <w:pPr>
        <w:tabs>
          <w:tab w:val="left" w:pos="1350"/>
          <w:tab w:val="left" w:pos="1530"/>
        </w:tabs>
        <w:ind w:left="1980" w:hanging="1974"/>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337C39">
        <w:rPr>
          <w:rFonts w:ascii="Times New Roman" w:hAnsi="Times New Roman" w:cs="Times New Roman"/>
          <w:color w:val="365F91"/>
          <w:sz w:val="24"/>
          <w:szCs w:val="24"/>
        </w:rPr>
        <w:t>Verify the methodology identifies either of the following and</w:t>
      </w:r>
      <w:r w:rsidR="00347B9A">
        <w:rPr>
          <w:rFonts w:ascii="Times New Roman" w:hAnsi="Times New Roman" w:cs="Times New Roman"/>
          <w:color w:val="365F91"/>
          <w:sz w:val="24"/>
          <w:szCs w:val="24"/>
        </w:rPr>
        <w:t xml:space="preserve"> is</w:t>
      </w:r>
      <w:r w:rsidR="00337C39">
        <w:rPr>
          <w:rFonts w:ascii="Times New Roman" w:hAnsi="Times New Roman" w:cs="Times New Roman"/>
          <w:color w:val="365F91"/>
          <w:sz w:val="24"/>
          <w:szCs w:val="24"/>
        </w:rPr>
        <w:t xml:space="preserve"> mapped to the model:</w:t>
      </w:r>
    </w:p>
    <w:p w:rsidR="00337C39" w:rsidRDefault="00337C39" w:rsidP="00ED5E97">
      <w:pPr>
        <w:tabs>
          <w:tab w:val="left" w:pos="1350"/>
          <w:tab w:val="left" w:pos="1530"/>
        </w:tabs>
        <w:ind w:left="1980" w:hanging="1974"/>
        <w:rPr>
          <w:rFonts w:ascii="Times New Roman" w:hAnsi="Times New Roman" w:cs="Times New Roman"/>
          <w:color w:val="365F91"/>
          <w:sz w:val="24"/>
          <w:szCs w:val="24"/>
        </w:rPr>
      </w:pPr>
    </w:p>
    <w:p w:rsidR="00337C39" w:rsidRDefault="00337C39" w:rsidP="00337C39">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Source/Sink</w:t>
      </w:r>
    </w:p>
    <w:p w:rsidR="00337C39" w:rsidRDefault="00337C39" w:rsidP="00337C39">
      <w:pPr>
        <w:ind w:left="1980" w:hanging="1976"/>
        <w:rPr>
          <w:rFonts w:ascii="Times New Roman" w:hAnsi="Times New Roman" w:cs="Times New Roman"/>
          <w:color w:val="365F91"/>
          <w:sz w:val="24"/>
          <w:szCs w:val="24"/>
        </w:rPr>
      </w:pPr>
    </w:p>
    <w:p w:rsidR="00337C39" w:rsidRDefault="00337C39" w:rsidP="00337C39">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t>(or)</w:t>
      </w:r>
    </w:p>
    <w:p w:rsidR="00337C39" w:rsidRDefault="00337C39" w:rsidP="00337C39">
      <w:pPr>
        <w:ind w:left="1980" w:hanging="1976"/>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POR/POD</w:t>
      </w:r>
    </w:p>
    <w:p w:rsidR="00337C39" w:rsidRDefault="00337C39" w:rsidP="00ED5E97">
      <w:pPr>
        <w:tabs>
          <w:tab w:val="left" w:pos="1350"/>
          <w:tab w:val="left" w:pos="1530"/>
        </w:tabs>
        <w:ind w:left="1980" w:hanging="1974"/>
        <w:rPr>
          <w:rFonts w:ascii="Times New Roman" w:hAnsi="Times New Roman" w:cs="Times New Roman"/>
          <w:color w:val="365F91"/>
          <w:sz w:val="24"/>
          <w:szCs w:val="24"/>
        </w:rPr>
      </w:pPr>
    </w:p>
    <w:p w:rsidR="00337C39" w:rsidRPr="009E5FBF" w:rsidRDefault="00337C39" w:rsidP="0051368D">
      <w:pPr>
        <w:tabs>
          <w:tab w:val="left" w:pos="1350"/>
          <w:tab w:val="left" w:pos="1530"/>
        </w:tabs>
        <w:ind w:left="1980" w:hanging="1974"/>
        <w:rPr>
          <w:rFonts w:ascii="Times New Roman" w:hAnsi="Times New Roman" w:cs="Times New Roman"/>
          <w:color w:val="365F91"/>
          <w:sz w:val="24"/>
          <w:szCs w:val="24"/>
          <w:highlight w:val="yellow"/>
        </w:rPr>
      </w:pPr>
      <w:r>
        <w:rPr>
          <w:rFonts w:ascii="Times New Roman" w:hAnsi="Times New Roman" w:cs="Times New Roman"/>
          <w:bCs/>
          <w:color w:val="365F91"/>
          <w:sz w:val="24"/>
          <w:szCs w:val="24"/>
        </w:rPr>
        <w:t xml:space="preserve">                         </w:t>
      </w:r>
    </w:p>
    <w:p w:rsidR="00347B9A" w:rsidRDefault="00347B9A" w:rsidP="00347B9A">
      <w:pPr>
        <w:ind w:left="1980" w:hanging="1976"/>
        <w:rPr>
          <w:rFonts w:ascii="Times New Roman" w:hAnsi="Times New Roman" w:cs="Times New Roman"/>
          <w:color w:val="365F91"/>
          <w:sz w:val="24"/>
          <w:szCs w:val="24"/>
        </w:rPr>
      </w:pPr>
      <w:r w:rsidRPr="00986BD2">
        <w:rPr>
          <w:rFonts w:ascii="Times New Roman" w:hAnsi="Times New Roman" w:cs="Times New Roman"/>
          <w:color w:val="365F91"/>
          <w:sz w:val="24"/>
          <w:szCs w:val="24"/>
        </w:rPr>
        <w:tab/>
      </w:r>
      <w:r w:rsidRPr="00986BD2">
        <w:rPr>
          <w:rFonts w:ascii="Times New Roman" w:hAnsi="Times New Roman" w:cs="Times New Roman"/>
          <w:bCs/>
          <w:color w:val="365F91"/>
          <w:sz w:val="24"/>
          <w:szCs w:val="24"/>
        </w:rPr>
        <w:tab/>
        <w:t>___</w:t>
      </w:r>
      <w:r w:rsidRPr="00986BD2">
        <w:rPr>
          <w:rFonts w:ascii="Times New Roman" w:hAnsi="Times New Roman" w:cs="Times New Roman"/>
          <w:color w:val="365F91"/>
          <w:sz w:val="24"/>
          <w:szCs w:val="24"/>
        </w:rPr>
        <w:t xml:space="preserve"> Verify the ATCID identifies how the generators participate in the group</w:t>
      </w:r>
      <w:r w:rsidR="0051368D" w:rsidRPr="00986BD2">
        <w:rPr>
          <w:rFonts w:ascii="Times New Roman" w:hAnsi="Times New Roman" w:cs="Times New Roman"/>
          <w:color w:val="365F91"/>
          <w:sz w:val="24"/>
          <w:szCs w:val="24"/>
        </w:rPr>
        <w:t xml:space="preserve"> if the response to the applicability question </w:t>
      </w:r>
      <w:r w:rsidR="00F4702D" w:rsidRPr="00986BD2">
        <w:rPr>
          <w:rFonts w:ascii="Times New Roman" w:hAnsi="Times New Roman" w:cs="Times New Roman"/>
          <w:color w:val="365F91"/>
          <w:sz w:val="24"/>
          <w:szCs w:val="24"/>
        </w:rPr>
        <w:t xml:space="preserve">for R1.5.4 </w:t>
      </w:r>
      <w:r w:rsidR="0051368D" w:rsidRPr="00986BD2">
        <w:rPr>
          <w:rFonts w:ascii="Times New Roman" w:hAnsi="Times New Roman" w:cs="Times New Roman"/>
          <w:color w:val="365F91"/>
          <w:sz w:val="24"/>
          <w:szCs w:val="24"/>
        </w:rPr>
        <w:t>was Yes.</w:t>
      </w:r>
    </w:p>
    <w:p w:rsidR="00347B9A" w:rsidRDefault="00347B9A" w:rsidP="00ED5E97">
      <w:pPr>
        <w:tabs>
          <w:tab w:val="left" w:pos="1350"/>
          <w:tab w:val="left" w:pos="1530"/>
        </w:tabs>
        <w:ind w:left="1980" w:hanging="1974"/>
        <w:rPr>
          <w:rFonts w:ascii="Times New Roman" w:hAnsi="Times New Roman" w:cs="Times New Roman"/>
          <w:color w:val="365F91"/>
          <w:sz w:val="24"/>
          <w:szCs w:val="24"/>
        </w:rPr>
      </w:pPr>
    </w:p>
    <w:p w:rsidR="008805C1" w:rsidRPr="001F467C" w:rsidRDefault="00ED5E97" w:rsidP="00337C39">
      <w:pPr>
        <w:tabs>
          <w:tab w:val="left" w:pos="1350"/>
          <w:tab w:val="left" w:pos="1530"/>
        </w:tabs>
        <w:ind w:left="1980" w:hanging="1974"/>
        <w:rPr>
          <w:rFonts w:ascii="Times New Roman" w:hAnsi="Times New Roman" w:cs="Times New Roman"/>
          <w:b/>
          <w:bCs/>
          <w:sz w:val="24"/>
          <w:szCs w:val="24"/>
        </w:rPr>
      </w:pPr>
      <w:r>
        <w:rPr>
          <w:rFonts w:ascii="Times New Roman" w:hAnsi="Times New Roman" w:cs="Times New Roman"/>
          <w:color w:val="365F91"/>
          <w:sz w:val="24"/>
          <w:szCs w:val="24"/>
        </w:rP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E24E44" w:rsidRPr="00E24E44" w:rsidRDefault="00E24E44" w:rsidP="00843AC4">
      <w:pPr>
        <w:pStyle w:val="ListParagraph"/>
        <w:numPr>
          <w:ilvl w:val="0"/>
          <w:numId w:val="17"/>
        </w:numPr>
        <w:tabs>
          <w:tab w:val="left" w:pos="2592"/>
          <w:tab w:val="left" w:pos="3240"/>
        </w:tabs>
        <w:autoSpaceDE/>
        <w:autoSpaceDN/>
        <w:adjustRightInd/>
        <w:spacing w:after="120"/>
        <w:rPr>
          <w:rFonts w:ascii="Times New Roman" w:hAnsi="Times New Roman" w:cs="Times New Roman"/>
          <w:vanish/>
          <w:sz w:val="24"/>
          <w:szCs w:val="24"/>
        </w:rPr>
      </w:pPr>
    </w:p>
    <w:p w:rsidR="00843AC4" w:rsidRPr="00843AC4" w:rsidRDefault="00843AC4" w:rsidP="00843AC4">
      <w:pPr>
        <w:pStyle w:val="Requirement"/>
        <w:numPr>
          <w:ilvl w:val="0"/>
          <w:numId w:val="17"/>
        </w:numPr>
        <w:tabs>
          <w:tab w:val="left" w:pos="2592"/>
        </w:tabs>
        <w:rPr>
          <w:i/>
        </w:rPr>
      </w:pPr>
      <w:r w:rsidRPr="000A40AF">
        <w:t xml:space="preserve">When calculating TTC for </w:t>
      </w:r>
      <w:r>
        <w:t>ATC</w:t>
      </w:r>
      <w:r w:rsidRPr="000A40AF">
        <w:t xml:space="preserve"> Paths, the Transmission Operator shall use a Transmission model that contains all of the following: </w:t>
      </w:r>
      <w:r w:rsidRPr="00843AC4">
        <w:rPr>
          <w:i/>
        </w:rPr>
        <w:t>[Violation Risk Factor: Lower] [Time Horizon: Operations Planning]</w:t>
      </w:r>
    </w:p>
    <w:p w:rsidR="00843AC4" w:rsidRPr="000A40AF" w:rsidRDefault="00843AC4" w:rsidP="00843AC4">
      <w:pPr>
        <w:pStyle w:val="Requirement"/>
        <w:numPr>
          <w:ilvl w:val="1"/>
          <w:numId w:val="5"/>
        </w:numPr>
        <w:tabs>
          <w:tab w:val="left" w:pos="2592"/>
        </w:tabs>
        <w:ind w:left="1728"/>
      </w:pPr>
      <w:r w:rsidRPr="000A40AF">
        <w:t xml:space="preserve">Modeling data and topology of its Reliability Coordinator’s area of responsibility. </w:t>
      </w:r>
      <w:r w:rsidRPr="006A1F02">
        <w:t>Equivalent representation of radial lines and facilities</w:t>
      </w:r>
      <w:r>
        <w:t xml:space="preserve"> </w:t>
      </w:r>
      <w:r w:rsidRPr="006A1F02">
        <w:t>161</w:t>
      </w:r>
      <w:r>
        <w:t xml:space="preserve"> </w:t>
      </w:r>
      <w:r w:rsidRPr="006A1F02">
        <w:t>kV</w:t>
      </w:r>
      <w:r>
        <w:t xml:space="preserve"> or below</w:t>
      </w:r>
      <w:r w:rsidRPr="006A1F02">
        <w:t xml:space="preserve"> is allowed.</w:t>
      </w:r>
    </w:p>
    <w:p w:rsidR="00843AC4" w:rsidRPr="000A40AF" w:rsidRDefault="00843AC4" w:rsidP="00843AC4">
      <w:pPr>
        <w:pStyle w:val="Requirement"/>
        <w:numPr>
          <w:ilvl w:val="1"/>
          <w:numId w:val="5"/>
        </w:numPr>
        <w:tabs>
          <w:tab w:val="left" w:pos="2592"/>
        </w:tabs>
        <w:ind w:left="1728"/>
      </w:pPr>
      <w:r w:rsidRPr="000A40AF">
        <w:t xml:space="preserve">Modeling data and topology (or equivalent representation) for immediately adjacent and beyond Reliability Coordination areas. </w:t>
      </w:r>
    </w:p>
    <w:p w:rsidR="00843AC4" w:rsidRPr="00E263AE" w:rsidRDefault="00843AC4" w:rsidP="00843AC4">
      <w:pPr>
        <w:pStyle w:val="Requirement"/>
        <w:numPr>
          <w:ilvl w:val="1"/>
          <w:numId w:val="5"/>
        </w:numPr>
        <w:tabs>
          <w:tab w:val="left" w:pos="2592"/>
        </w:tabs>
        <w:ind w:left="1728"/>
      </w:pPr>
      <w:r w:rsidRPr="00E263AE">
        <w:t>Facility Ratings specified by the Generator Owners and Transmission Owners.</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003496">
      <w:pPr>
        <w:widowControl w:val="0"/>
        <w:shd w:val="clear" w:color="auto" w:fill="D3DCE9"/>
        <w:tabs>
          <w:tab w:val="left" w:pos="720"/>
        </w:tabs>
        <w:spacing w:line="294" w:lineRule="exact"/>
        <w:ind w:left="720" w:hanging="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003496">
      <w:pPr>
        <w:widowControl w:val="0"/>
        <w:shd w:val="clear" w:color="auto" w:fill="D3DCE9"/>
        <w:tabs>
          <w:tab w:val="left" w:pos="720"/>
        </w:tabs>
        <w:spacing w:line="294" w:lineRule="exact"/>
        <w:ind w:left="720" w:hanging="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B53833" w:rsidRPr="00884825" w:rsidRDefault="00B53833" w:rsidP="00884825">
      <w:pPr>
        <w:pStyle w:val="Heading1"/>
      </w:pPr>
      <w:r w:rsidRPr="00884825">
        <w:t>R2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2D1C0A">
      <w:pPr>
        <w:pStyle w:val="Requirement"/>
        <w:numPr>
          <w:ilvl w:val="0"/>
          <w:numId w:val="0"/>
        </w:numPr>
        <w:tabs>
          <w:tab w:val="left" w:pos="2592"/>
        </w:tabs>
        <w:ind w:left="720" w:hanging="720"/>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w:t>
      </w:r>
      <w:r w:rsidR="00956CF6">
        <w:rPr>
          <w:rFonts w:ascii="Times New Roman" w:hAnsi="Times New Roman" w:cs="Times New Roman"/>
          <w:b/>
          <w:bCs/>
          <w:color w:val="264D74"/>
          <w:sz w:val="24"/>
          <w:szCs w:val="24"/>
        </w:rPr>
        <w:t>28</w:t>
      </w:r>
      <w:r w:rsidR="00597D3C">
        <w:rPr>
          <w:rFonts w:ascii="Times New Roman" w:hAnsi="Times New Roman" w:cs="Times New Roman"/>
          <w:b/>
          <w:bCs/>
          <w:color w:val="264D74"/>
          <w:sz w:val="24"/>
          <w:szCs w:val="24"/>
        </w:rPr>
        <w:t>-</w:t>
      </w:r>
      <w:r w:rsidR="002A36D5">
        <w:rPr>
          <w:rFonts w:ascii="Times New Roman" w:hAnsi="Times New Roman" w:cs="Times New Roman"/>
          <w:b/>
          <w:bCs/>
          <w:color w:val="264D74"/>
          <w:sz w:val="24"/>
          <w:szCs w:val="24"/>
        </w:rPr>
        <w:t>2</w:t>
      </w:r>
      <w:r w:rsidR="00597D3C">
        <w:rPr>
          <w:rFonts w:ascii="Times New Roman" w:hAnsi="Times New Roman" w:cs="Times New Roman"/>
          <w:b/>
          <w:bCs/>
          <w:color w:val="264D74"/>
          <w:sz w:val="24"/>
          <w:szCs w:val="24"/>
        </w:rPr>
        <w:t xml:space="preserve"> R2</w:t>
      </w:r>
    </w:p>
    <w:p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1F15A2" w:rsidRPr="005E50A4" w:rsidRDefault="001F15A2" w:rsidP="00956CF6">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when calculating the TTC for ATC paths, the TOP utilized </w:t>
      </w:r>
      <w:r w:rsidR="00597D3C">
        <w:rPr>
          <w:rFonts w:ascii="Times New Roman" w:hAnsi="Times New Roman" w:cs="Times New Roman"/>
          <w:color w:val="365F91"/>
          <w:sz w:val="24"/>
          <w:szCs w:val="24"/>
        </w:rPr>
        <w:t>a T</w:t>
      </w:r>
      <w:r>
        <w:rPr>
          <w:rFonts w:ascii="Times New Roman" w:hAnsi="Times New Roman" w:cs="Times New Roman"/>
          <w:color w:val="365F91"/>
          <w:sz w:val="24"/>
          <w:szCs w:val="24"/>
        </w:rPr>
        <w:t>ransmission model that contained the following:</w:t>
      </w:r>
    </w:p>
    <w:p w:rsidR="001F15A2" w:rsidRPr="005E50A4" w:rsidRDefault="001F15A2" w:rsidP="001F15A2">
      <w:pPr>
        <w:ind w:left="360"/>
        <w:rPr>
          <w:rFonts w:ascii="Times New Roman" w:hAnsi="Times New Roman" w:cs="Times New Roman"/>
          <w:color w:val="365F91"/>
          <w:sz w:val="24"/>
          <w:szCs w:val="24"/>
        </w:rPr>
      </w:pPr>
    </w:p>
    <w:p w:rsidR="001F15A2" w:rsidRDefault="001F15A2" w:rsidP="001F15A2">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597D3C">
        <w:rPr>
          <w:rFonts w:ascii="Times New Roman" w:hAnsi="Times New Roman" w:cs="Times New Roman"/>
          <w:bCs/>
          <w:color w:val="365F91"/>
          <w:sz w:val="24"/>
          <w:szCs w:val="24"/>
        </w:rPr>
        <w:t>M</w:t>
      </w:r>
      <w:r>
        <w:rPr>
          <w:rFonts w:ascii="Times New Roman" w:hAnsi="Times New Roman" w:cs="Times New Roman"/>
          <w:color w:val="365F91"/>
          <w:sz w:val="24"/>
          <w:szCs w:val="24"/>
        </w:rPr>
        <w:t>odeling data and topology of its RC’s area of responsibility</w:t>
      </w:r>
      <w:r w:rsidR="00573027">
        <w:rPr>
          <w:rFonts w:ascii="Times New Roman" w:hAnsi="Times New Roman" w:cs="Times New Roman"/>
          <w:color w:val="365F91"/>
          <w:sz w:val="24"/>
          <w:szCs w:val="24"/>
        </w:rPr>
        <w:t>.</w:t>
      </w:r>
    </w:p>
    <w:p w:rsidR="001F15A2" w:rsidRPr="005E50A4" w:rsidRDefault="001F15A2" w:rsidP="001F15A2">
      <w:pPr>
        <w:ind w:left="360"/>
        <w:rPr>
          <w:rFonts w:ascii="Times New Roman" w:hAnsi="Times New Roman" w:cs="Times New Roman"/>
          <w:color w:val="365F91"/>
          <w:sz w:val="24"/>
          <w:szCs w:val="24"/>
        </w:rPr>
      </w:pPr>
    </w:p>
    <w:p w:rsidR="001F15A2" w:rsidRDefault="001F15A2" w:rsidP="001F15A2">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597D3C">
        <w:rPr>
          <w:rFonts w:ascii="Times New Roman" w:hAnsi="Times New Roman" w:cs="Times New Roman"/>
          <w:bCs/>
          <w:color w:val="365F91"/>
          <w:sz w:val="24"/>
          <w:szCs w:val="24"/>
        </w:rPr>
        <w:t>M</w:t>
      </w:r>
      <w:r>
        <w:rPr>
          <w:rFonts w:ascii="Times New Roman" w:hAnsi="Times New Roman" w:cs="Times New Roman"/>
          <w:color w:val="365F91"/>
          <w:sz w:val="24"/>
          <w:szCs w:val="24"/>
        </w:rPr>
        <w:t>odeling data and topology for immediately adjacent and beyond RC Coordination areas.</w:t>
      </w:r>
    </w:p>
    <w:p w:rsidR="001F15A2" w:rsidRPr="005E50A4" w:rsidRDefault="001F15A2" w:rsidP="001F15A2">
      <w:pPr>
        <w:ind w:left="360"/>
        <w:rPr>
          <w:rFonts w:ascii="Times New Roman" w:hAnsi="Times New Roman" w:cs="Times New Roman"/>
          <w:color w:val="365F91"/>
          <w:sz w:val="24"/>
          <w:szCs w:val="24"/>
        </w:rPr>
      </w:pPr>
    </w:p>
    <w:p w:rsidR="001F15A2" w:rsidRDefault="001F15A2" w:rsidP="001F15A2">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Facility ratings specified by the GOs and TOs</w:t>
      </w:r>
      <w:r w:rsidR="00573027">
        <w:rPr>
          <w:rFonts w:ascii="Times New Roman" w:hAnsi="Times New Roman" w:cs="Times New Roman"/>
          <w:color w:val="365F91"/>
          <w:sz w:val="24"/>
          <w:szCs w:val="24"/>
        </w:rPr>
        <w:t>.</w:t>
      </w:r>
    </w:p>
    <w:p w:rsidR="001F15A2" w:rsidRDefault="001F15A2" w:rsidP="001F15A2">
      <w:pPr>
        <w:ind w:left="990" w:hanging="990"/>
        <w:rPr>
          <w:rFonts w:ascii="Times New Roman" w:hAnsi="Times New Roman" w:cs="Times New Roman"/>
          <w:color w:val="365F91"/>
          <w:sz w:val="24"/>
          <w:szCs w:val="24"/>
        </w:rPr>
      </w:pPr>
    </w:p>
    <w:p w:rsidR="005E50A4" w:rsidRPr="001F467C" w:rsidRDefault="005E50A4" w:rsidP="005E50A4">
      <w:pPr>
        <w:rPr>
          <w:rFonts w:ascii="Times New Roman" w:hAnsi="Times New Roman" w:cs="Times New Roman"/>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003496" w:rsidRDefault="00001BFE" w:rsidP="00003496">
      <w:pPr>
        <w:widowControl w:val="0"/>
        <w:tabs>
          <w:tab w:val="left" w:pos="60"/>
        </w:tabs>
        <w:spacing w:line="284" w:lineRule="exact"/>
        <w:rPr>
          <w:rFonts w:ascii="Times New Roman" w:hAnsi="Times New Roman" w:cs="Times New Roman"/>
          <w:sz w:val="24"/>
          <w:szCs w:val="24"/>
        </w:rPr>
      </w:pPr>
    </w:p>
    <w:p w:rsidR="00E24E44" w:rsidRPr="00E24E44" w:rsidRDefault="00E24E44" w:rsidP="00843AC4">
      <w:pPr>
        <w:pStyle w:val="ListParagraph"/>
        <w:numPr>
          <w:ilvl w:val="0"/>
          <w:numId w:val="18"/>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843AC4">
      <w:pPr>
        <w:pStyle w:val="ListParagraph"/>
        <w:numPr>
          <w:ilvl w:val="0"/>
          <w:numId w:val="18"/>
        </w:numPr>
        <w:tabs>
          <w:tab w:val="left" w:pos="2592"/>
          <w:tab w:val="left" w:pos="3240"/>
        </w:tabs>
        <w:autoSpaceDE/>
        <w:autoSpaceDN/>
        <w:adjustRightInd/>
        <w:spacing w:after="120"/>
        <w:rPr>
          <w:rFonts w:ascii="Times New Roman" w:hAnsi="Times New Roman" w:cs="Times New Roman"/>
          <w:vanish/>
          <w:sz w:val="24"/>
          <w:szCs w:val="24"/>
        </w:rPr>
      </w:pPr>
    </w:p>
    <w:p w:rsidR="00843AC4" w:rsidRDefault="00843AC4" w:rsidP="00843AC4">
      <w:pPr>
        <w:pStyle w:val="Requirement"/>
        <w:numPr>
          <w:ilvl w:val="0"/>
          <w:numId w:val="18"/>
        </w:numPr>
        <w:tabs>
          <w:tab w:val="left" w:pos="2592"/>
        </w:tabs>
      </w:pPr>
      <w:r>
        <w:t xml:space="preserve">When calculating TTCs for ATC Paths, the Transmission Operator shall include the following data for the Transmission Service Provider’s area. The Transmission Operator shall also include the following data associated with Facilities that are explicitly represented in the Transmission model, as provided by adjacent Transmission Service Providers and any other Transmission Service Providers with which coordination agreements have been executed:  </w:t>
      </w:r>
      <w:r w:rsidRPr="00843AC4">
        <w:rPr>
          <w:rFonts w:ascii="TimesNewRomanPSMT" w:hAnsi="TimesNewRomanPSMT" w:cs="TimesNewRomanPSMT"/>
        </w:rPr>
        <w:t>[</w:t>
      </w:r>
      <w:r w:rsidRPr="00843AC4">
        <w:rPr>
          <w:i/>
          <w:iCs/>
        </w:rPr>
        <w:t xml:space="preserve">Violation Risk Factor: </w:t>
      </w:r>
      <w:r w:rsidRPr="00843AC4">
        <w:rPr>
          <w:i/>
        </w:rPr>
        <w:t>Lower</w:t>
      </w:r>
      <w:r w:rsidRPr="00843AC4">
        <w:rPr>
          <w:rFonts w:ascii="TimesNewRomanPSMT" w:hAnsi="TimesNewRomanPSMT" w:cs="TimesNewRomanPSMT"/>
        </w:rPr>
        <w:t>] [</w:t>
      </w:r>
      <w:r w:rsidRPr="00843AC4">
        <w:rPr>
          <w:i/>
          <w:iCs/>
        </w:rPr>
        <w:t>Time Horizon: Operations Planning</w:t>
      </w:r>
      <w:r w:rsidRPr="00843AC4">
        <w:rPr>
          <w:rFonts w:ascii="TimesNewRomanPSMT" w:hAnsi="TimesNewRomanPSMT" w:cs="TimesNewRomanPSMT"/>
        </w:rPr>
        <w:t>]</w:t>
      </w:r>
    </w:p>
    <w:p w:rsidR="00843AC4" w:rsidRDefault="00843AC4" w:rsidP="00843AC4">
      <w:pPr>
        <w:pStyle w:val="Requirement"/>
        <w:numPr>
          <w:ilvl w:val="1"/>
          <w:numId w:val="5"/>
        </w:numPr>
        <w:tabs>
          <w:tab w:val="left" w:pos="2592"/>
        </w:tabs>
        <w:ind w:left="1728"/>
      </w:pPr>
      <w:r w:rsidRPr="004F6C88">
        <w:t xml:space="preserve">For TTCs, </w:t>
      </w:r>
      <w:r>
        <w:t>use the following</w:t>
      </w:r>
      <w:r w:rsidRPr="004F6C88">
        <w:t xml:space="preserve"> (a</w:t>
      </w:r>
      <w:r>
        <w:t>s well as any other values and additional parameters as specified in the ATCID</w:t>
      </w:r>
      <w:r w:rsidRPr="004F6C88">
        <w:t>):</w:t>
      </w:r>
    </w:p>
    <w:p w:rsidR="00843AC4" w:rsidRDefault="00843AC4" w:rsidP="00843AC4">
      <w:pPr>
        <w:pStyle w:val="Requirement"/>
        <w:numPr>
          <w:ilvl w:val="2"/>
          <w:numId w:val="5"/>
        </w:numPr>
        <w:tabs>
          <w:tab w:val="left" w:pos="2592"/>
        </w:tabs>
        <w:ind w:left="2592"/>
      </w:pPr>
      <w:r>
        <w:t xml:space="preserve">Expected generation and Transmission outages, additions, and retirements, included as specified in the ATCID. </w:t>
      </w:r>
    </w:p>
    <w:p w:rsidR="00843AC4" w:rsidRDefault="00B45856" w:rsidP="00843AC4">
      <w:pPr>
        <w:pStyle w:val="Requirement"/>
        <w:numPr>
          <w:ilvl w:val="2"/>
          <w:numId w:val="5"/>
        </w:numPr>
        <w:tabs>
          <w:tab w:val="left" w:pos="2592"/>
        </w:tabs>
        <w:ind w:left="2592"/>
      </w:pPr>
      <w:r>
        <w:t>A daily or hourly l</w:t>
      </w:r>
      <w:r w:rsidR="00843AC4">
        <w:t xml:space="preserve">oad forecast for </w:t>
      </w:r>
      <w:r>
        <w:t>TTCs used in current-day and next-day ATC calculations</w:t>
      </w:r>
      <w:r w:rsidR="00843AC4">
        <w:t>.</w:t>
      </w:r>
    </w:p>
    <w:p w:rsidR="003A271F" w:rsidRDefault="00B45856" w:rsidP="00843AC4">
      <w:pPr>
        <w:pStyle w:val="Requirement"/>
        <w:numPr>
          <w:ilvl w:val="2"/>
          <w:numId w:val="5"/>
        </w:numPr>
        <w:tabs>
          <w:tab w:val="left" w:pos="2592"/>
        </w:tabs>
        <w:ind w:left="2592"/>
      </w:pPr>
      <w:r>
        <w:t xml:space="preserve">A daily load forecast for TTCs used in ATC calculations for days two </w:t>
      </w:r>
      <w:r w:rsidR="003A271F">
        <w:t>through 31.</w:t>
      </w:r>
    </w:p>
    <w:p w:rsidR="00125D9B" w:rsidRDefault="003A271F" w:rsidP="00843AC4">
      <w:pPr>
        <w:pStyle w:val="Requirement"/>
        <w:numPr>
          <w:ilvl w:val="2"/>
          <w:numId w:val="5"/>
        </w:numPr>
        <w:tabs>
          <w:tab w:val="left" w:pos="2592"/>
        </w:tabs>
        <w:ind w:left="2592"/>
      </w:pPr>
      <w:r>
        <w:rPr>
          <w:sz w:val="25"/>
          <w:szCs w:val="25"/>
        </w:rPr>
        <w:t xml:space="preserve">A monthly load forecast for TTCs used in ATC calculations for months two through 13 months TTCs. </w:t>
      </w:r>
      <w:r w:rsidR="00843AC4">
        <w:t xml:space="preserve"> </w:t>
      </w:r>
    </w:p>
    <w:p w:rsidR="00843AC4" w:rsidRDefault="00125D9B" w:rsidP="00843AC4">
      <w:pPr>
        <w:pStyle w:val="Requirement"/>
        <w:numPr>
          <w:ilvl w:val="2"/>
          <w:numId w:val="5"/>
        </w:numPr>
        <w:tabs>
          <w:tab w:val="left" w:pos="2592"/>
        </w:tabs>
        <w:ind w:left="2592"/>
      </w:pPr>
      <w:r w:rsidRPr="00125D9B">
        <w:t>Unit commitment and dispatch order, to include all designated network resources and other resources that are committed or have the legal obligation to run, (within or out of economic dispatch) as they are expected to run.</w:t>
      </w:r>
      <w:r w:rsidR="00843AC4">
        <w:t xml:space="preserve">       </w:t>
      </w:r>
    </w:p>
    <w:p w:rsidR="00843AC4" w:rsidRDefault="00843AC4" w:rsidP="00945FAD">
      <w:pPr>
        <w:pStyle w:val="Requirement"/>
        <w:numPr>
          <w:ilvl w:val="0"/>
          <w:numId w:val="0"/>
        </w:numPr>
        <w:tabs>
          <w:tab w:val="left" w:pos="2592"/>
        </w:tabs>
        <w:ind w:left="2592"/>
      </w:pPr>
      <w:r>
        <w:t xml:space="preserve">       </w:t>
      </w:r>
    </w:p>
    <w:p w:rsidR="002724D7" w:rsidRDefault="002724D7" w:rsidP="002724D7">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2724D7" w:rsidRPr="009C039C" w:rsidRDefault="002724D7" w:rsidP="002724D7">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724D7" w:rsidRPr="001F467C" w:rsidRDefault="002724D7" w:rsidP="002724D7">
      <w:pPr>
        <w:widowControl w:val="0"/>
        <w:tabs>
          <w:tab w:val="left" w:pos="720"/>
        </w:tabs>
        <w:spacing w:line="186" w:lineRule="exact"/>
        <w:ind w:left="720"/>
        <w:rPr>
          <w:rFonts w:ascii="Times New Roman" w:hAnsi="Times New Roman" w:cs="Times New Roman"/>
          <w:sz w:val="24"/>
          <w:szCs w:val="24"/>
        </w:rPr>
      </w:pPr>
    </w:p>
    <w:p w:rsidR="002724D7" w:rsidRPr="001F467C" w:rsidRDefault="002724D7" w:rsidP="002724D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724D7" w:rsidRPr="001F467C" w:rsidRDefault="002724D7" w:rsidP="002724D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86BD2" w:rsidRDefault="00986BD2" w:rsidP="00003496">
      <w:pPr>
        <w:widowControl w:val="0"/>
        <w:tabs>
          <w:tab w:val="left" w:pos="720"/>
        </w:tabs>
        <w:spacing w:line="294" w:lineRule="exact"/>
        <w:rPr>
          <w:rFonts w:ascii="Times New Roman" w:hAnsi="Times New Roman" w:cs="Times New Roman"/>
          <w:b/>
          <w:bCs/>
          <w:sz w:val="24"/>
          <w:szCs w:val="24"/>
        </w:rPr>
      </w:pPr>
    </w:p>
    <w:p w:rsidR="00DB193C" w:rsidRPr="002724D7" w:rsidRDefault="002724D7" w:rsidP="00DB193C">
      <w:pPr>
        <w:widowControl w:val="0"/>
        <w:tabs>
          <w:tab w:val="left" w:pos="720"/>
        </w:tabs>
        <w:spacing w:line="294" w:lineRule="exact"/>
        <w:ind w:left="720"/>
        <w:rPr>
          <w:rFonts w:ascii="Times New Roman" w:hAnsi="Times New Roman" w:cs="Times New Roman"/>
          <w:bCs/>
          <w:color w:val="365F91"/>
          <w:sz w:val="24"/>
          <w:szCs w:val="24"/>
        </w:rPr>
      </w:pPr>
      <w:r w:rsidRPr="003231ED">
        <w:rPr>
          <w:rFonts w:ascii="Times New Roman" w:hAnsi="Times New Roman" w:cs="Times New Roman"/>
          <w:b/>
          <w:bCs/>
          <w:sz w:val="24"/>
          <w:szCs w:val="24"/>
        </w:rPr>
        <w:t>Question:</w:t>
      </w:r>
      <w:r>
        <w:rPr>
          <w:rFonts w:ascii="Times New Roman" w:hAnsi="Times New Roman" w:cs="Times New Roman"/>
          <w:b/>
          <w:bCs/>
          <w:color w:val="365F91"/>
          <w:sz w:val="24"/>
          <w:szCs w:val="24"/>
        </w:rPr>
        <w:t xml:space="preserve"> </w:t>
      </w:r>
      <w:r w:rsidRPr="002724D7">
        <w:rPr>
          <w:rFonts w:ascii="Times New Roman" w:hAnsi="Times New Roman" w:cs="Times New Roman"/>
          <w:bCs/>
          <w:sz w:val="24"/>
          <w:szCs w:val="24"/>
        </w:rPr>
        <w:t>Do you have any coordination agreements with other Transmission Service Providers? If yes, provide a list of TSPs you have coordination agreements with.</w:t>
      </w:r>
      <w:r w:rsidR="00DB193C" w:rsidRPr="002724D7" w:rsidDel="00AD5422">
        <w:rPr>
          <w:rFonts w:ascii="Times New Roman" w:hAnsi="Times New Roman" w:cs="Times New Roman"/>
          <w:bCs/>
          <w:color w:val="365F91"/>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Pr="001F467C" w:rsidRDefault="002D1C0A" w:rsidP="002D1C0A">
      <w:pPr>
        <w:pStyle w:val="Requirement"/>
        <w:numPr>
          <w:ilvl w:val="0"/>
          <w:numId w:val="0"/>
        </w:numPr>
        <w:tabs>
          <w:tab w:val="left" w:pos="2592"/>
        </w:tabs>
        <w:ind w:left="360"/>
      </w:pPr>
    </w:p>
    <w:p w:rsidR="00B53833" w:rsidRPr="00884825" w:rsidRDefault="00B53833" w:rsidP="00884825">
      <w:pPr>
        <w:pStyle w:val="Heading1"/>
      </w:pPr>
      <w:r w:rsidRPr="00884825">
        <w:t>R3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5E50A4" w:rsidRDefault="005E50A4"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8E7CBF">
        <w:rPr>
          <w:rFonts w:ascii="Times New Roman" w:hAnsi="Times New Roman" w:cs="Times New Roman"/>
          <w:b/>
          <w:bCs/>
          <w:color w:val="003366"/>
          <w:sz w:val="24"/>
          <w:szCs w:val="24"/>
        </w:rPr>
        <w:t>MOD-0</w:t>
      </w:r>
      <w:r w:rsidR="00956CF6">
        <w:rPr>
          <w:rFonts w:ascii="Times New Roman" w:hAnsi="Times New Roman" w:cs="Times New Roman"/>
          <w:b/>
          <w:bCs/>
          <w:color w:val="003366"/>
          <w:sz w:val="24"/>
          <w:szCs w:val="24"/>
        </w:rPr>
        <w:t>28</w:t>
      </w:r>
      <w:r w:rsidR="001D0C8A">
        <w:rPr>
          <w:rFonts w:ascii="Times New Roman" w:hAnsi="Times New Roman" w:cs="Times New Roman"/>
          <w:b/>
          <w:bCs/>
          <w:color w:val="003366"/>
          <w:sz w:val="24"/>
          <w:szCs w:val="24"/>
        </w:rPr>
        <w:t>-</w:t>
      </w:r>
      <w:r w:rsidR="002A36D5">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R3</w:t>
      </w:r>
    </w:p>
    <w:p w:rsidR="002724D7" w:rsidRDefault="00956CF6" w:rsidP="002724D7">
      <w:pPr>
        <w:ind w:left="990" w:hanging="990"/>
        <w:rPr>
          <w:rFonts w:ascii="Times New Roman" w:hAnsi="Times New Roman" w:cs="Times New Roman"/>
          <w:bCs/>
          <w:color w:val="365F91"/>
          <w:sz w:val="24"/>
          <w:szCs w:val="24"/>
        </w:rPr>
      </w:pPr>
      <w:bookmarkStart w:id="3" w:name="OLE_LINK1"/>
      <w:bookmarkStart w:id="4" w:name="OLE_LINK2"/>
      <w:r w:rsidRPr="005E50A4">
        <w:rPr>
          <w:rFonts w:ascii="Times New Roman" w:hAnsi="Times New Roman" w:cs="Times New Roman"/>
          <w:bCs/>
          <w:color w:val="365F91"/>
          <w:sz w:val="24"/>
          <w:szCs w:val="24"/>
        </w:rPr>
        <w:t xml:space="preserve">  </w:t>
      </w:r>
      <w:r w:rsidR="002724D7">
        <w:rPr>
          <w:rFonts w:ascii="Times New Roman" w:hAnsi="Times New Roman" w:cs="Times New Roman"/>
          <w:color w:val="365F91"/>
          <w:sz w:val="24"/>
          <w:szCs w:val="24"/>
        </w:rPr>
        <w:t xml:space="preserve">                </w:t>
      </w:r>
    </w:p>
    <w:p w:rsidR="00956CF6" w:rsidRPr="005E50A4" w:rsidRDefault="00956CF6" w:rsidP="00956CF6">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572FB2">
        <w:rPr>
          <w:rFonts w:ascii="Times New Roman" w:hAnsi="Times New Roman" w:cs="Times New Roman"/>
          <w:bCs/>
          <w:color w:val="365F91"/>
          <w:sz w:val="24"/>
          <w:szCs w:val="24"/>
        </w:rPr>
        <w:t xml:space="preserve">(R3.1) </w:t>
      </w:r>
      <w:r>
        <w:rPr>
          <w:rFonts w:ascii="Times New Roman" w:hAnsi="Times New Roman" w:cs="Times New Roman"/>
          <w:color w:val="365F91"/>
          <w:sz w:val="24"/>
          <w:szCs w:val="24"/>
        </w:rPr>
        <w:t>Verify the TOP, when calculating the TTC’s for ATC Paths</w:t>
      </w:r>
      <w:r w:rsidR="002724D7">
        <w:rPr>
          <w:rFonts w:ascii="Times New Roman" w:hAnsi="Times New Roman" w:cs="Times New Roman"/>
          <w:color w:val="365F91"/>
          <w:sz w:val="24"/>
          <w:szCs w:val="24"/>
        </w:rPr>
        <w:t>,</w:t>
      </w:r>
      <w:r w:rsidR="00597D3C">
        <w:rPr>
          <w:rFonts w:ascii="Times New Roman" w:hAnsi="Times New Roman" w:cs="Times New Roman"/>
          <w:color w:val="365F91"/>
          <w:sz w:val="24"/>
          <w:szCs w:val="24"/>
        </w:rPr>
        <w:t xml:space="preserve"> </w:t>
      </w:r>
      <w:r>
        <w:rPr>
          <w:rFonts w:ascii="Times New Roman" w:hAnsi="Times New Roman" w:cs="Times New Roman"/>
          <w:color w:val="365F91"/>
          <w:sz w:val="24"/>
          <w:szCs w:val="24"/>
        </w:rPr>
        <w:t>include</w:t>
      </w:r>
      <w:r w:rsidR="002724D7">
        <w:rPr>
          <w:rFonts w:ascii="Times New Roman" w:hAnsi="Times New Roman" w:cs="Times New Roman"/>
          <w:color w:val="365F91"/>
          <w:sz w:val="24"/>
          <w:szCs w:val="24"/>
        </w:rPr>
        <w:t xml:space="preserve">s </w:t>
      </w:r>
      <w:r>
        <w:rPr>
          <w:rFonts w:ascii="Times New Roman" w:hAnsi="Times New Roman" w:cs="Times New Roman"/>
          <w:color w:val="365F91"/>
          <w:sz w:val="24"/>
          <w:szCs w:val="24"/>
        </w:rPr>
        <w:t xml:space="preserve">the following </w:t>
      </w:r>
      <w:r w:rsidR="002724D7">
        <w:rPr>
          <w:rFonts w:ascii="Times New Roman" w:hAnsi="Times New Roman" w:cs="Times New Roman"/>
          <w:color w:val="365F91"/>
          <w:sz w:val="24"/>
          <w:szCs w:val="24"/>
        </w:rPr>
        <w:t xml:space="preserve">data </w:t>
      </w:r>
      <w:r>
        <w:rPr>
          <w:rFonts w:ascii="Times New Roman" w:hAnsi="Times New Roman" w:cs="Times New Roman"/>
          <w:color w:val="365F91"/>
          <w:sz w:val="24"/>
          <w:szCs w:val="24"/>
        </w:rPr>
        <w:t>in the Transmission model</w:t>
      </w:r>
      <w:r w:rsidR="00DB776B">
        <w:rPr>
          <w:rFonts w:ascii="Times New Roman" w:hAnsi="Times New Roman" w:cs="Times New Roman"/>
          <w:color w:val="365F91"/>
          <w:sz w:val="24"/>
          <w:szCs w:val="24"/>
        </w:rPr>
        <w:t xml:space="preserve"> for the TSP’s area, adjacent TSPs and any other TSPs with coordinating agreements</w:t>
      </w:r>
      <w:r>
        <w:rPr>
          <w:rFonts w:ascii="Times New Roman" w:hAnsi="Times New Roman" w:cs="Times New Roman"/>
          <w:color w:val="365F91"/>
          <w:sz w:val="24"/>
          <w:szCs w:val="24"/>
        </w:rPr>
        <w:t>:</w:t>
      </w:r>
    </w:p>
    <w:p w:rsidR="00956CF6" w:rsidRPr="005E50A4" w:rsidRDefault="00956CF6" w:rsidP="00956CF6">
      <w:pPr>
        <w:ind w:left="360"/>
        <w:rPr>
          <w:rFonts w:ascii="Times New Roman" w:hAnsi="Times New Roman" w:cs="Times New Roman"/>
          <w:color w:val="365F91"/>
          <w:sz w:val="24"/>
          <w:szCs w:val="24"/>
        </w:rPr>
      </w:pPr>
    </w:p>
    <w:p w:rsidR="00956CF6" w:rsidRDefault="00956CF6" w:rsidP="00003D69">
      <w:pPr>
        <w:ind w:left="1890" w:hanging="449"/>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945FAD">
        <w:rPr>
          <w:rFonts w:ascii="Times New Roman" w:hAnsi="Times New Roman" w:cs="Times New Roman"/>
          <w:bCs/>
          <w:color w:val="365F91"/>
          <w:sz w:val="24"/>
          <w:szCs w:val="24"/>
        </w:rPr>
        <w:t xml:space="preserve">(R3.1.1) </w:t>
      </w:r>
      <w:r>
        <w:rPr>
          <w:rFonts w:ascii="Times New Roman" w:hAnsi="Times New Roman" w:cs="Times New Roman"/>
          <w:color w:val="365F91"/>
          <w:sz w:val="24"/>
          <w:szCs w:val="24"/>
        </w:rPr>
        <w:t>Expected generation and transmission outages, additions and retirements included as specified in the ATCID</w:t>
      </w:r>
      <w:r w:rsidR="009F603C">
        <w:rPr>
          <w:rFonts w:ascii="Times New Roman" w:hAnsi="Times New Roman" w:cs="Times New Roman"/>
          <w:color w:val="365F91"/>
          <w:sz w:val="24"/>
          <w:szCs w:val="24"/>
        </w:rPr>
        <w:t>.</w:t>
      </w:r>
    </w:p>
    <w:bookmarkEnd w:id="3"/>
    <w:bookmarkEnd w:id="4"/>
    <w:p w:rsidR="00956CF6" w:rsidRPr="005E50A4" w:rsidRDefault="00956CF6" w:rsidP="00956CF6">
      <w:pPr>
        <w:ind w:left="1440" w:hanging="1440"/>
        <w:rPr>
          <w:rFonts w:ascii="Times New Roman" w:hAnsi="Times New Roman" w:cs="Times New Roman"/>
          <w:color w:val="365F91"/>
          <w:sz w:val="24"/>
          <w:szCs w:val="24"/>
        </w:rPr>
      </w:pPr>
    </w:p>
    <w:p w:rsidR="00956CF6" w:rsidRDefault="00956CF6" w:rsidP="00956CF6">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945FAD">
        <w:rPr>
          <w:rFonts w:ascii="Times New Roman" w:hAnsi="Times New Roman" w:cs="Times New Roman"/>
          <w:bCs/>
          <w:color w:val="365F91"/>
          <w:sz w:val="24"/>
          <w:szCs w:val="24"/>
        </w:rPr>
        <w:t xml:space="preserve">(R3.1.2) </w:t>
      </w:r>
      <w:r w:rsidR="0005386C">
        <w:rPr>
          <w:rFonts w:ascii="Times New Roman" w:hAnsi="Times New Roman" w:cs="Times New Roman"/>
          <w:bCs/>
          <w:color w:val="365F91"/>
          <w:sz w:val="24"/>
          <w:szCs w:val="24"/>
        </w:rPr>
        <w:t>A daily or hourly l</w:t>
      </w:r>
      <w:r>
        <w:rPr>
          <w:rFonts w:ascii="Times New Roman" w:hAnsi="Times New Roman" w:cs="Times New Roman"/>
          <w:color w:val="365F91"/>
          <w:sz w:val="24"/>
          <w:szCs w:val="24"/>
        </w:rPr>
        <w:t xml:space="preserve">oad forecast for </w:t>
      </w:r>
      <w:r w:rsidR="0005386C">
        <w:rPr>
          <w:rFonts w:ascii="Times New Roman" w:hAnsi="Times New Roman" w:cs="Times New Roman"/>
          <w:color w:val="365F91"/>
          <w:sz w:val="24"/>
          <w:szCs w:val="24"/>
        </w:rPr>
        <w:t xml:space="preserve">TTCs used in current-day and next-day ATC </w:t>
      </w:r>
      <w:r w:rsidR="00006854">
        <w:rPr>
          <w:rFonts w:ascii="Times New Roman" w:hAnsi="Times New Roman" w:cs="Times New Roman"/>
          <w:color w:val="365F91"/>
          <w:sz w:val="24"/>
          <w:szCs w:val="24"/>
        </w:rPr>
        <w:t xml:space="preserve">     </w:t>
      </w:r>
      <w:r w:rsidR="0005386C">
        <w:rPr>
          <w:rFonts w:ascii="Times New Roman" w:hAnsi="Times New Roman" w:cs="Times New Roman"/>
          <w:color w:val="365F91"/>
          <w:sz w:val="24"/>
          <w:szCs w:val="24"/>
        </w:rPr>
        <w:t>calculations</w:t>
      </w:r>
    </w:p>
    <w:p w:rsidR="00003D69" w:rsidRDefault="00956CF6" w:rsidP="00003D69">
      <w:pPr>
        <w:ind w:left="1440" w:hanging="1440"/>
        <w:rPr>
          <w:rFonts w:ascii="Times New Roman" w:hAnsi="Times New Roman" w:cs="Times New Roman"/>
          <w:color w:val="FF0000"/>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sidR="00003D69">
        <w:rPr>
          <w:rFonts w:ascii="Times New Roman" w:hAnsi="Times New Roman" w:cs="Times New Roman"/>
          <w:bCs/>
          <w:color w:val="365F91"/>
          <w:sz w:val="24"/>
          <w:szCs w:val="24"/>
        </w:rPr>
        <w:tab/>
      </w:r>
      <w:r w:rsidR="00003D69">
        <w:rPr>
          <w:rFonts w:ascii="Times New Roman" w:hAnsi="Times New Roman" w:cs="Times New Roman"/>
          <w:bCs/>
          <w:color w:val="365F91"/>
          <w:sz w:val="24"/>
          <w:szCs w:val="24"/>
        </w:rPr>
        <w:tab/>
      </w:r>
      <w:r w:rsidR="00003D69">
        <w:rPr>
          <w:rFonts w:ascii="Times New Roman" w:hAnsi="Times New Roman" w:cs="Times New Roman"/>
          <w:bCs/>
          <w:color w:val="365F91"/>
          <w:sz w:val="24"/>
          <w:szCs w:val="24"/>
        </w:rPr>
        <w:tab/>
      </w:r>
    </w:p>
    <w:p w:rsidR="00D927B4" w:rsidRDefault="00D927B4" w:rsidP="00D927B4">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572FB2">
        <w:rPr>
          <w:rFonts w:ascii="Times New Roman" w:hAnsi="Times New Roman" w:cs="Times New Roman"/>
          <w:color w:val="365F91"/>
          <w:sz w:val="24"/>
          <w:szCs w:val="24"/>
        </w:rPr>
        <w:tab/>
      </w:r>
      <w:r w:rsidR="00572FB2">
        <w:rPr>
          <w:rFonts w:ascii="Times New Roman" w:hAnsi="Times New Roman" w:cs="Times New Roman"/>
          <w:color w:val="365F91"/>
          <w:sz w:val="24"/>
          <w:szCs w:val="24"/>
        </w:rPr>
        <w:tab/>
      </w:r>
      <w:r w:rsidR="00572FB2">
        <w:rPr>
          <w:rFonts w:ascii="Times New Roman" w:hAnsi="Times New Roman" w:cs="Times New Roman"/>
          <w:color w:val="365F91"/>
          <w:sz w:val="24"/>
          <w:szCs w:val="24"/>
        </w:rPr>
        <w:tab/>
      </w:r>
      <w:r w:rsidR="00572FB2">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 </w:t>
      </w:r>
      <w:r w:rsidR="00572FB2">
        <w:rPr>
          <w:rFonts w:ascii="Times New Roman" w:hAnsi="Times New Roman" w:cs="Times New Roman"/>
          <w:bCs/>
          <w:color w:val="365F91"/>
          <w:sz w:val="24"/>
          <w:szCs w:val="24"/>
        </w:rPr>
        <w:tab/>
      </w:r>
      <w:r w:rsidR="00572FB2">
        <w:rPr>
          <w:rFonts w:ascii="Times New Roman" w:hAnsi="Times New Roman" w:cs="Times New Roman"/>
          <w:bCs/>
          <w:color w:val="365F91"/>
          <w:sz w:val="24"/>
          <w:szCs w:val="24"/>
        </w:rPr>
        <w:tab/>
      </w:r>
      <w:r w:rsidR="00572FB2">
        <w:rPr>
          <w:rFonts w:ascii="Times New Roman" w:hAnsi="Times New Roman" w:cs="Times New Roman"/>
          <w:bCs/>
          <w:color w:val="365F91"/>
          <w:sz w:val="24"/>
          <w:szCs w:val="24"/>
        </w:rPr>
        <w:tab/>
      </w:r>
      <w:r w:rsidR="00572FB2">
        <w:rPr>
          <w:rFonts w:ascii="Times New Roman" w:hAnsi="Times New Roman" w:cs="Times New Roman"/>
          <w:bCs/>
          <w:color w:val="365F91"/>
          <w:sz w:val="24"/>
          <w:szCs w:val="24"/>
        </w:rPr>
        <w:tab/>
        <w:t xml:space="preserve">      </w:t>
      </w:r>
      <w:r w:rsidR="00945FAD">
        <w:rPr>
          <w:rFonts w:ascii="Times New Roman" w:hAnsi="Times New Roman" w:cs="Times New Roman"/>
          <w:bCs/>
          <w:color w:val="365F91"/>
          <w:sz w:val="24"/>
          <w:szCs w:val="24"/>
        </w:rPr>
        <w:tab/>
      </w:r>
      <w:r w:rsidR="00945FAD">
        <w:rPr>
          <w:rFonts w:ascii="Times New Roman" w:hAnsi="Times New Roman" w:cs="Times New Roman"/>
          <w:bCs/>
          <w:color w:val="365F91"/>
          <w:sz w:val="24"/>
          <w:szCs w:val="24"/>
        </w:rPr>
        <w:tab/>
      </w:r>
      <w:r w:rsidR="00945FAD">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572FB2">
        <w:rPr>
          <w:rFonts w:ascii="Times New Roman" w:hAnsi="Times New Roman" w:cs="Times New Roman"/>
          <w:bCs/>
          <w:color w:val="365F91"/>
          <w:sz w:val="24"/>
          <w:szCs w:val="24"/>
        </w:rPr>
        <w:t xml:space="preserve">(R3.1.3) </w:t>
      </w:r>
      <w:r w:rsidR="00572FB2">
        <w:rPr>
          <w:rFonts w:ascii="Times New Roman" w:hAnsi="Times New Roman" w:cs="Times New Roman"/>
          <w:color w:val="365F91"/>
          <w:sz w:val="24"/>
          <w:szCs w:val="24"/>
        </w:rPr>
        <w:t>Daily load forecasts for TTCs used in ATC calculations for days two through 31</w:t>
      </w:r>
      <w:r w:rsidR="009F603C">
        <w:rPr>
          <w:rFonts w:ascii="Times New Roman" w:hAnsi="Times New Roman" w:cs="Times New Roman"/>
          <w:color w:val="365F91"/>
          <w:sz w:val="24"/>
          <w:szCs w:val="24"/>
        </w:rPr>
        <w:t>.</w:t>
      </w:r>
      <w:r w:rsidR="00572FB2">
        <w:rPr>
          <w:rFonts w:ascii="Times New Roman" w:hAnsi="Times New Roman" w:cs="Times New Roman"/>
          <w:color w:val="365F91"/>
          <w:sz w:val="24"/>
          <w:szCs w:val="24"/>
        </w:rPr>
        <w:t xml:space="preserve"> </w:t>
      </w:r>
    </w:p>
    <w:p w:rsidR="00D927B4" w:rsidRPr="005E50A4" w:rsidRDefault="00D927B4" w:rsidP="00D927B4">
      <w:pPr>
        <w:ind w:left="360"/>
        <w:rPr>
          <w:rFonts w:ascii="Times New Roman" w:hAnsi="Times New Roman" w:cs="Times New Roman"/>
          <w:color w:val="365F91"/>
          <w:sz w:val="24"/>
          <w:szCs w:val="24"/>
        </w:rPr>
      </w:pPr>
    </w:p>
    <w:p w:rsidR="00D927B4" w:rsidRDefault="00D927B4" w:rsidP="00063123">
      <w:pPr>
        <w:ind w:left="1890" w:hanging="449"/>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___ </w:t>
      </w:r>
      <w:r w:rsidR="00572FB2">
        <w:rPr>
          <w:rFonts w:ascii="Times New Roman" w:hAnsi="Times New Roman" w:cs="Times New Roman"/>
          <w:bCs/>
          <w:color w:val="365F91"/>
          <w:sz w:val="24"/>
          <w:szCs w:val="24"/>
        </w:rPr>
        <w:t>(R3.1.4) M</w:t>
      </w:r>
      <w:r w:rsidR="00063123">
        <w:rPr>
          <w:rFonts w:ascii="Times New Roman" w:hAnsi="Times New Roman" w:cs="Times New Roman"/>
          <w:color w:val="365F91"/>
          <w:sz w:val="24"/>
          <w:szCs w:val="24"/>
        </w:rPr>
        <w:t xml:space="preserve">onthly </w:t>
      </w:r>
      <w:r w:rsidR="00572FB2">
        <w:rPr>
          <w:rFonts w:ascii="Times New Roman" w:hAnsi="Times New Roman" w:cs="Times New Roman"/>
          <w:color w:val="365F91"/>
          <w:sz w:val="24"/>
          <w:szCs w:val="24"/>
        </w:rPr>
        <w:t xml:space="preserve">load </w:t>
      </w:r>
      <w:r w:rsidR="00063123">
        <w:rPr>
          <w:rFonts w:ascii="Times New Roman" w:hAnsi="Times New Roman" w:cs="Times New Roman"/>
          <w:color w:val="365F91"/>
          <w:sz w:val="24"/>
          <w:szCs w:val="24"/>
        </w:rPr>
        <w:t xml:space="preserve">forecasts for </w:t>
      </w:r>
      <w:r w:rsidR="00572FB2">
        <w:rPr>
          <w:rFonts w:ascii="Times New Roman" w:hAnsi="Times New Roman" w:cs="Times New Roman"/>
          <w:color w:val="365F91"/>
          <w:sz w:val="24"/>
          <w:szCs w:val="24"/>
        </w:rPr>
        <w:t xml:space="preserve">TTCs used in ATC calculations for </w:t>
      </w:r>
      <w:r w:rsidR="00063123">
        <w:rPr>
          <w:rFonts w:ascii="Times New Roman" w:hAnsi="Times New Roman" w:cs="Times New Roman"/>
          <w:color w:val="365F91"/>
          <w:sz w:val="24"/>
          <w:szCs w:val="24"/>
        </w:rPr>
        <w:t xml:space="preserve">months two through </w:t>
      </w:r>
      <w:r w:rsidR="00063123">
        <w:rPr>
          <w:rFonts w:ascii="Times New Roman" w:hAnsi="Times New Roman" w:cs="Times New Roman"/>
          <w:color w:val="365F91"/>
          <w:sz w:val="24"/>
          <w:szCs w:val="24"/>
        </w:rPr>
        <w:tab/>
        <w:t>13</w:t>
      </w:r>
      <w:r w:rsidR="00572FB2">
        <w:rPr>
          <w:rFonts w:ascii="Times New Roman" w:hAnsi="Times New Roman" w:cs="Times New Roman"/>
          <w:color w:val="365F91"/>
          <w:sz w:val="24"/>
          <w:szCs w:val="24"/>
        </w:rPr>
        <w:t xml:space="preserve"> TTCs</w:t>
      </w:r>
      <w:r w:rsidR="009F603C">
        <w:rPr>
          <w:rFonts w:ascii="Times New Roman" w:hAnsi="Times New Roman" w:cs="Times New Roman"/>
          <w:color w:val="365F91"/>
          <w:sz w:val="24"/>
          <w:szCs w:val="24"/>
        </w:rPr>
        <w:t>.</w:t>
      </w:r>
    </w:p>
    <w:p w:rsidR="00D927B4" w:rsidRPr="005E50A4" w:rsidRDefault="00D927B4" w:rsidP="00D927B4">
      <w:pPr>
        <w:ind w:left="360"/>
        <w:rPr>
          <w:rFonts w:ascii="Times New Roman" w:hAnsi="Times New Roman" w:cs="Times New Roman"/>
          <w:color w:val="365F91"/>
          <w:sz w:val="24"/>
          <w:szCs w:val="24"/>
        </w:rPr>
      </w:pPr>
    </w:p>
    <w:p w:rsidR="00D927B4" w:rsidRDefault="00D927B4" w:rsidP="00D927B4">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572FB2">
        <w:rPr>
          <w:rFonts w:ascii="Times New Roman" w:hAnsi="Times New Roman" w:cs="Times New Roman"/>
          <w:bCs/>
          <w:color w:val="365F91"/>
          <w:sz w:val="24"/>
          <w:szCs w:val="24"/>
        </w:rPr>
        <w:t xml:space="preserve">(R3.1.5) </w:t>
      </w:r>
      <w:r>
        <w:rPr>
          <w:rFonts w:ascii="Times New Roman" w:hAnsi="Times New Roman" w:cs="Times New Roman"/>
          <w:color w:val="365F91"/>
          <w:sz w:val="24"/>
          <w:szCs w:val="24"/>
        </w:rPr>
        <w:t>Unit commitment and dispatch orders:</w:t>
      </w:r>
    </w:p>
    <w:p w:rsidR="00D927B4" w:rsidRDefault="00D927B4" w:rsidP="00D927B4">
      <w:pPr>
        <w:ind w:left="1440" w:hanging="1440"/>
        <w:rPr>
          <w:rFonts w:ascii="Times New Roman" w:hAnsi="Times New Roman" w:cs="Times New Roman"/>
          <w:color w:val="365F91"/>
          <w:sz w:val="24"/>
          <w:szCs w:val="24"/>
        </w:rPr>
      </w:pPr>
    </w:p>
    <w:p w:rsidR="00D927B4" w:rsidRDefault="00D927B4" w:rsidP="00D927B4">
      <w:pPr>
        <w:ind w:left="1800" w:hanging="180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include all designated network resources</w:t>
      </w:r>
      <w:r w:rsidR="009F603C">
        <w:rPr>
          <w:rFonts w:ascii="Times New Roman" w:hAnsi="Times New Roman" w:cs="Times New Roman"/>
          <w:color w:val="365F91"/>
          <w:sz w:val="24"/>
          <w:szCs w:val="24"/>
        </w:rPr>
        <w:t>.</w:t>
      </w:r>
    </w:p>
    <w:p w:rsidR="00D927B4" w:rsidRDefault="00D927B4" w:rsidP="00D927B4">
      <w:pPr>
        <w:ind w:left="1440" w:hanging="1440"/>
        <w:rPr>
          <w:rFonts w:ascii="Times New Roman" w:hAnsi="Times New Roman" w:cs="Times New Roman"/>
          <w:color w:val="365F91"/>
          <w:sz w:val="24"/>
          <w:szCs w:val="24"/>
        </w:rPr>
      </w:pPr>
    </w:p>
    <w:p w:rsidR="00D927B4" w:rsidRDefault="00D927B4" w:rsidP="00D927B4">
      <w:pPr>
        <w:ind w:left="1800" w:hanging="180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include other resources which are committed or have legal obligations to run</w:t>
      </w:r>
      <w:r w:rsidR="009F603C">
        <w:rPr>
          <w:rFonts w:ascii="Times New Roman" w:hAnsi="Times New Roman" w:cs="Times New Roman"/>
          <w:color w:val="365F91"/>
          <w:sz w:val="24"/>
          <w:szCs w:val="24"/>
        </w:rPr>
        <w:t>.</w:t>
      </w:r>
    </w:p>
    <w:p w:rsidR="00DB776B" w:rsidRDefault="00DB776B" w:rsidP="00003D69">
      <w:pPr>
        <w:ind w:left="1440" w:hanging="1440"/>
        <w:rPr>
          <w:rFonts w:ascii="Times New Roman" w:hAnsi="Times New Roman" w:cs="Times New Roman"/>
          <w:color w:val="FF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003496">
      <w:pPr>
        <w:pStyle w:val="Requirement"/>
        <w:numPr>
          <w:ilvl w:val="0"/>
          <w:numId w:val="0"/>
        </w:numPr>
        <w:tabs>
          <w:tab w:val="left" w:pos="2592"/>
        </w:tabs>
      </w:pPr>
    </w:p>
    <w:p w:rsidR="00843AC4" w:rsidRPr="005A1114" w:rsidRDefault="00843AC4" w:rsidP="00843AC4">
      <w:pPr>
        <w:pStyle w:val="Requirement"/>
        <w:tabs>
          <w:tab w:val="clear" w:pos="720"/>
          <w:tab w:val="num" w:pos="936"/>
          <w:tab w:val="left" w:pos="2592"/>
        </w:tabs>
        <w:ind w:left="936" w:hanging="576"/>
        <w:rPr>
          <w:i/>
        </w:rPr>
      </w:pPr>
      <w:r w:rsidRPr="009C6ABA">
        <w:t>When calculating TTC</w:t>
      </w:r>
      <w:r>
        <w:t>s</w:t>
      </w:r>
      <w:r w:rsidRPr="009C6ABA">
        <w:t xml:space="preserve"> for </w:t>
      </w:r>
      <w:r>
        <w:t>ATC</w:t>
      </w:r>
      <w:r w:rsidRPr="009C6ABA">
        <w:t xml:space="preserve"> Paths, the Transmission Operator shall meet all of the following conditions: </w:t>
      </w:r>
      <w:r w:rsidRPr="005A1114">
        <w:rPr>
          <w:i/>
        </w:rPr>
        <w:t>[Violation Risk Factor: Lower] [Time Horizon: Operations Planning]</w:t>
      </w:r>
    </w:p>
    <w:p w:rsidR="00843AC4" w:rsidRDefault="00843AC4" w:rsidP="00843AC4">
      <w:pPr>
        <w:pStyle w:val="Requirement"/>
        <w:numPr>
          <w:ilvl w:val="1"/>
          <w:numId w:val="5"/>
        </w:numPr>
        <w:tabs>
          <w:tab w:val="left" w:pos="2592"/>
        </w:tabs>
        <w:ind w:left="1728"/>
      </w:pPr>
      <w:r>
        <w:t xml:space="preserve">Use all Contingencies meeting the criteria described in the ATCID. </w:t>
      </w:r>
    </w:p>
    <w:p w:rsidR="00843AC4" w:rsidRDefault="00843AC4" w:rsidP="00843AC4">
      <w:pPr>
        <w:pStyle w:val="Requirement"/>
        <w:numPr>
          <w:ilvl w:val="1"/>
          <w:numId w:val="5"/>
        </w:numPr>
        <w:tabs>
          <w:tab w:val="left" w:pos="2592"/>
        </w:tabs>
        <w:ind w:left="1728"/>
      </w:pPr>
      <w:r>
        <w:t xml:space="preserve">Respect any contractual allocations of TTC. </w:t>
      </w:r>
    </w:p>
    <w:p w:rsidR="00843AC4" w:rsidRPr="00BB05BB" w:rsidRDefault="00843AC4" w:rsidP="00843AC4">
      <w:pPr>
        <w:pStyle w:val="Requirement"/>
        <w:numPr>
          <w:ilvl w:val="1"/>
          <w:numId w:val="5"/>
        </w:numPr>
        <w:tabs>
          <w:tab w:val="left" w:pos="2592"/>
        </w:tabs>
        <w:ind w:left="1728"/>
      </w:pPr>
      <w:r w:rsidRPr="00BB05BB">
        <w:t xml:space="preserve">Include, for each time period, the </w:t>
      </w:r>
      <w:r>
        <w:t>F</w:t>
      </w:r>
      <w:r w:rsidRPr="00BB05BB">
        <w:t xml:space="preserve">irm Transmission </w:t>
      </w:r>
      <w:r>
        <w:t>S</w:t>
      </w:r>
      <w:r w:rsidRPr="00BB05BB">
        <w:t>ervice</w:t>
      </w:r>
      <w:r>
        <w:t xml:space="preserve"> expected to be scheduled as specified in the ATCID </w:t>
      </w:r>
      <w:r w:rsidRPr="00BB05BB">
        <w:t xml:space="preserve"> </w:t>
      </w:r>
      <w:r>
        <w:t>(</w:t>
      </w:r>
      <w:r w:rsidRPr="00BB05BB">
        <w:t>filtered to reduce or eliminate duplicate impacts from transactions using Transmission service from multiple Transmission Service Providers</w:t>
      </w:r>
      <w:r>
        <w:t>)</w:t>
      </w:r>
      <w:r w:rsidRPr="00BB05BB">
        <w:t xml:space="preserve">  for the Transmission Service Provider, all adjacent Transmission Service Providers, and any Transmission Service Providers with which coordination agreements have been executed modeling the source and sink as follows:</w:t>
      </w:r>
    </w:p>
    <w:p w:rsidR="00843AC4" w:rsidRPr="00BB05BB" w:rsidRDefault="00843AC4" w:rsidP="00843AC4">
      <w:pPr>
        <w:pStyle w:val="ListBullet2"/>
      </w:pPr>
      <w:r w:rsidRPr="00BB05BB">
        <w:t>If the source</w:t>
      </w:r>
      <w:r>
        <w:t>, as specified in the ATCID,</w:t>
      </w:r>
      <w:r w:rsidRPr="00BB05BB">
        <w:t xml:space="preserve"> has been </w:t>
      </w:r>
      <w:r>
        <w:t>identified</w:t>
      </w:r>
      <w:r w:rsidRPr="00BB05BB">
        <w:t xml:space="preserve"> in the reservation and it is discretely modeled in the Transmission Service Provider’s Transmission model, use the discretely modeled point as the source.</w:t>
      </w:r>
    </w:p>
    <w:p w:rsidR="00843AC4" w:rsidRPr="00BB05BB" w:rsidRDefault="00843AC4" w:rsidP="00843AC4">
      <w:pPr>
        <w:pStyle w:val="ListBullet2"/>
      </w:pPr>
      <w:r w:rsidRPr="00BB05BB">
        <w:t>If the source</w:t>
      </w:r>
      <w:r>
        <w:t>, as specified in the ATCID,</w:t>
      </w:r>
      <w:r w:rsidRPr="00BB05BB">
        <w:t xml:space="preserve"> has been </w:t>
      </w:r>
      <w:r>
        <w:t>identified</w:t>
      </w:r>
      <w:r w:rsidRPr="00BB05BB">
        <w:t xml:space="preserve"> in the reservation and the point can be mapped to an “equivalence”</w:t>
      </w:r>
      <w:r>
        <w:t xml:space="preserve"> or “aggregate representation”</w:t>
      </w:r>
      <w:r w:rsidRPr="00BB05BB">
        <w:t xml:space="preserve"> in the Transmission Service Provider’s Transmission model, use the modeled equivalence</w:t>
      </w:r>
      <w:r>
        <w:t xml:space="preserve"> or aggregate</w:t>
      </w:r>
      <w:r w:rsidRPr="00BB05BB">
        <w:t xml:space="preserve"> as the source.</w:t>
      </w:r>
    </w:p>
    <w:p w:rsidR="00843AC4" w:rsidRPr="00BB05BB" w:rsidRDefault="00843AC4" w:rsidP="00843AC4">
      <w:pPr>
        <w:pStyle w:val="ListBullet2"/>
      </w:pPr>
      <w:r w:rsidRPr="00BB05BB">
        <w:t>If the source</w:t>
      </w:r>
      <w:r>
        <w:t>, as specified in the ATCID,</w:t>
      </w:r>
      <w:r w:rsidRPr="00BB05BB">
        <w:t xml:space="preserve"> has been </w:t>
      </w:r>
      <w:r>
        <w:t>identified</w:t>
      </w:r>
      <w:r w:rsidRPr="00BB05BB">
        <w:t xml:space="preserve"> in the reservation and the point cannot be mapped to a discretely modeled point</w:t>
      </w:r>
      <w:r>
        <w:t>,</w:t>
      </w:r>
      <w:r w:rsidRPr="00BB05BB">
        <w:t xml:space="preserve"> an “equivalence</w:t>
      </w:r>
      <w:r>
        <w:t>,</w:t>
      </w:r>
      <w:r w:rsidRPr="00BB05BB">
        <w:t>”</w:t>
      </w:r>
      <w:r>
        <w:t xml:space="preserve"> or an “aggregate representation”</w:t>
      </w:r>
      <w:r w:rsidRPr="00BB05BB">
        <w:t xml:space="preserve"> in the Transmission Service Provider’s Transmission model, use the </w:t>
      </w:r>
      <w:r>
        <w:t>immediately adjacent Balancing Authority associated with the</w:t>
      </w:r>
      <w:r w:rsidRPr="00BB05BB">
        <w:t xml:space="preserve"> Transmission Service Provider </w:t>
      </w:r>
      <w:r>
        <w:t xml:space="preserve">from which the power is to be received </w:t>
      </w:r>
      <w:r w:rsidRPr="00BB05BB">
        <w:t>as the source.</w:t>
      </w:r>
    </w:p>
    <w:p w:rsidR="00843AC4" w:rsidRPr="00BB05BB" w:rsidRDefault="00843AC4" w:rsidP="00843AC4">
      <w:pPr>
        <w:pStyle w:val="ListBullet2"/>
      </w:pPr>
      <w:r w:rsidRPr="00BB05BB">
        <w:t>If the source</w:t>
      </w:r>
      <w:r>
        <w:t>, as specified in the ATCID,</w:t>
      </w:r>
      <w:r w:rsidRPr="00BB05BB">
        <w:t xml:space="preserve"> has not been </w:t>
      </w:r>
      <w:r>
        <w:t>identified in the reservation</w:t>
      </w:r>
      <w:r w:rsidRPr="00BB05BB">
        <w:t xml:space="preserve">, use the </w:t>
      </w:r>
      <w:r>
        <w:t>immediately adjacent Balancing Authority associated with the</w:t>
      </w:r>
      <w:r w:rsidRPr="00BB05BB">
        <w:t xml:space="preserve"> Transmission Service Provider </w:t>
      </w:r>
      <w:r>
        <w:t xml:space="preserve">from which the power is to be received </w:t>
      </w:r>
      <w:r w:rsidRPr="00BB05BB">
        <w:t>as the source.</w:t>
      </w:r>
    </w:p>
    <w:p w:rsidR="00843AC4" w:rsidRPr="00BB05BB" w:rsidRDefault="00843AC4" w:rsidP="00843AC4">
      <w:pPr>
        <w:pStyle w:val="ListBullet2"/>
      </w:pPr>
      <w:r w:rsidRPr="00BB05BB">
        <w:t>If the sink</w:t>
      </w:r>
      <w:r>
        <w:t>, as specified in the ATCID,</w:t>
      </w:r>
      <w:r w:rsidRPr="00BB05BB">
        <w:t xml:space="preserve"> has been </w:t>
      </w:r>
      <w:r>
        <w:t>identified</w:t>
      </w:r>
      <w:r w:rsidRPr="00BB05BB">
        <w:t xml:space="preserve"> in the reservation and it is discretely modeled in the Transmission Service Provider’s Transmission model, use the discretely modeled point shall as the sink.</w:t>
      </w:r>
    </w:p>
    <w:p w:rsidR="00843AC4" w:rsidRPr="00BB05BB" w:rsidRDefault="00843AC4" w:rsidP="00843AC4">
      <w:pPr>
        <w:pStyle w:val="ListBullet2"/>
      </w:pPr>
      <w:r w:rsidRPr="00BB05BB">
        <w:t>If the sink</w:t>
      </w:r>
      <w:r>
        <w:t>, as specified in the ATCID,</w:t>
      </w:r>
      <w:r w:rsidRPr="00BB05BB">
        <w:t xml:space="preserve"> has been </w:t>
      </w:r>
      <w:r>
        <w:t>identified</w:t>
      </w:r>
      <w:r w:rsidRPr="00BB05BB">
        <w:t xml:space="preserve"> in the reservation and the point can be mapped to an “equivalence” </w:t>
      </w:r>
      <w:r>
        <w:t>or “aggregate representation”</w:t>
      </w:r>
      <w:r w:rsidRPr="00BB05BB">
        <w:t xml:space="preserve"> in the Transmission Service Provider’s Transmission model, use the modeled equivalence</w:t>
      </w:r>
      <w:r>
        <w:t xml:space="preserve"> or aggregate</w:t>
      </w:r>
      <w:r w:rsidRPr="00BB05BB">
        <w:t xml:space="preserve"> as the sink.</w:t>
      </w:r>
    </w:p>
    <w:p w:rsidR="00843AC4" w:rsidRPr="00BB05BB" w:rsidRDefault="00843AC4" w:rsidP="00843AC4">
      <w:pPr>
        <w:pStyle w:val="ListBullet2"/>
      </w:pPr>
      <w:r w:rsidRPr="00BB05BB">
        <w:t>If the sink</w:t>
      </w:r>
      <w:r>
        <w:t>, as specified in the ATCID,</w:t>
      </w:r>
      <w:r w:rsidRPr="00BB05BB">
        <w:t xml:space="preserve"> has been </w:t>
      </w:r>
      <w:r>
        <w:t>identified</w:t>
      </w:r>
      <w:r w:rsidRPr="00BB05BB">
        <w:t xml:space="preserve"> in the reservation and the point </w:t>
      </w:r>
      <w:r w:rsidR="003B60C5" w:rsidRPr="00BB05BB">
        <w:t>cannot</w:t>
      </w:r>
      <w:r w:rsidRPr="00BB05BB">
        <w:t xml:space="preserve"> be mapped to a discretely modeled point</w:t>
      </w:r>
      <w:r>
        <w:t>,</w:t>
      </w:r>
      <w:r w:rsidRPr="00BB05BB">
        <w:t xml:space="preserve"> an “equivalence</w:t>
      </w:r>
      <w:r>
        <w:t>,</w:t>
      </w:r>
      <w:r w:rsidRPr="00BB05BB">
        <w:t xml:space="preserve">” </w:t>
      </w:r>
      <w:r>
        <w:t xml:space="preserve">or an “aggregate representation” </w:t>
      </w:r>
      <w:r w:rsidRPr="00BB05BB">
        <w:t xml:space="preserve">in the Transmission Service Provider’s Transmission model, use the </w:t>
      </w:r>
      <w:r>
        <w:t>immediately adjacent Balancing Authority associated with the</w:t>
      </w:r>
      <w:r w:rsidRPr="00BB05BB">
        <w:t xml:space="preserve"> Transmission Service Provider</w:t>
      </w:r>
      <w:r>
        <w:t xml:space="preserve"> to which the power is to be delivered</w:t>
      </w:r>
      <w:r w:rsidRPr="00BB05BB">
        <w:t xml:space="preserve"> as the sink.</w:t>
      </w:r>
    </w:p>
    <w:p w:rsidR="00843AC4" w:rsidRPr="00BB05BB" w:rsidRDefault="00843AC4" w:rsidP="00843AC4">
      <w:pPr>
        <w:pStyle w:val="ListBullet2"/>
      </w:pPr>
      <w:r w:rsidRPr="00BB05BB">
        <w:t>If the sink</w:t>
      </w:r>
      <w:r>
        <w:t>, as specified in the ATCID,</w:t>
      </w:r>
      <w:r w:rsidRPr="00BB05BB">
        <w:t xml:space="preserve"> has not been </w:t>
      </w:r>
      <w:r>
        <w:t>identified in the reservation</w:t>
      </w:r>
      <w:r w:rsidRPr="00BB05BB">
        <w:t xml:space="preserve">, use the </w:t>
      </w:r>
      <w:r>
        <w:t>immediately adjacent Balancing Authority associated with the</w:t>
      </w:r>
      <w:r w:rsidRPr="00BB05BB">
        <w:t xml:space="preserve"> Transmission Service Provider </w:t>
      </w:r>
      <w:r>
        <w:t xml:space="preserve">to which the power is being delivered </w:t>
      </w:r>
      <w:r w:rsidRPr="00BB05BB">
        <w:t>as the sink.</w:t>
      </w:r>
    </w:p>
    <w:p w:rsidR="00003496" w:rsidRDefault="0000349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690474" w:rsidRDefault="00690474" w:rsidP="00690474">
      <w:pPr>
        <w:widowControl w:val="0"/>
        <w:tabs>
          <w:tab w:val="left" w:pos="720"/>
        </w:tabs>
        <w:spacing w:line="294" w:lineRule="exact"/>
        <w:ind w:left="720"/>
        <w:rPr>
          <w:rFonts w:ascii="Times New Roman" w:hAnsi="Times New Roman" w:cs="Times New Roman"/>
          <w:bCs/>
          <w:sz w:val="24"/>
          <w:szCs w:val="24"/>
        </w:rPr>
      </w:pPr>
      <w:r w:rsidRPr="003231ED">
        <w:rPr>
          <w:rFonts w:ascii="Times New Roman" w:hAnsi="Times New Roman" w:cs="Times New Roman"/>
          <w:b/>
          <w:bCs/>
          <w:sz w:val="24"/>
          <w:szCs w:val="24"/>
        </w:rPr>
        <w:t xml:space="preserve">Question: </w:t>
      </w:r>
      <w:r w:rsidRPr="003231ED">
        <w:rPr>
          <w:rFonts w:ascii="Times New Roman" w:hAnsi="Times New Roman" w:cs="Times New Roman"/>
          <w:bCs/>
          <w:sz w:val="24"/>
          <w:szCs w:val="24"/>
        </w:rPr>
        <w:t>What</w:t>
      </w:r>
      <w:r>
        <w:rPr>
          <w:rFonts w:ascii="Times New Roman" w:hAnsi="Times New Roman" w:cs="Times New Roman"/>
          <w:bCs/>
          <w:sz w:val="24"/>
          <w:szCs w:val="24"/>
        </w:rPr>
        <w:t xml:space="preserve"> method(s) do you use to model the source/sink for your Transmission model? (refer to bullets in R4.3)</w:t>
      </w:r>
    </w:p>
    <w:p w:rsidR="00003496" w:rsidRPr="00690474" w:rsidRDefault="00003496" w:rsidP="00690474">
      <w:pPr>
        <w:widowControl w:val="0"/>
        <w:tabs>
          <w:tab w:val="left" w:pos="720"/>
        </w:tabs>
        <w:spacing w:line="294" w:lineRule="exact"/>
        <w:ind w:left="720"/>
        <w:rPr>
          <w:rFonts w:ascii="Times New Roman" w:hAnsi="Times New Roman" w:cs="Times New Roman"/>
          <w:bCs/>
          <w:color w:val="264D74"/>
          <w:sz w:val="24"/>
          <w:szCs w:val="24"/>
        </w:rPr>
      </w:pPr>
    </w:p>
    <w:p w:rsidR="00690474" w:rsidRPr="009C039C" w:rsidRDefault="00690474" w:rsidP="00690474">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690474" w:rsidRPr="001F467C" w:rsidRDefault="00690474" w:rsidP="00690474">
      <w:pPr>
        <w:widowControl w:val="0"/>
        <w:tabs>
          <w:tab w:val="left" w:pos="720"/>
        </w:tabs>
        <w:spacing w:line="186" w:lineRule="exact"/>
        <w:ind w:left="720"/>
        <w:rPr>
          <w:rFonts w:ascii="Times New Roman" w:hAnsi="Times New Roman" w:cs="Times New Roman"/>
          <w:sz w:val="24"/>
          <w:szCs w:val="24"/>
        </w:rPr>
      </w:pPr>
    </w:p>
    <w:p w:rsidR="00690474" w:rsidRPr="001F467C" w:rsidRDefault="00690474" w:rsidP="006904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690474" w:rsidRPr="001F467C" w:rsidRDefault="00690474" w:rsidP="0069047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90474" w:rsidRPr="001F467C" w:rsidRDefault="00690474" w:rsidP="00690474">
      <w:pPr>
        <w:widowControl w:val="0"/>
        <w:spacing w:line="40" w:lineRule="exact"/>
        <w:rPr>
          <w:rFonts w:ascii="Times New Roman" w:hAnsi="Times New Roman" w:cs="Times New Roman"/>
          <w:sz w:val="24"/>
          <w:szCs w:val="24"/>
        </w:rPr>
      </w:pPr>
    </w:p>
    <w:p w:rsidR="00986BD2" w:rsidRDefault="00986BD2" w:rsidP="00884825">
      <w:pPr>
        <w:pStyle w:val="Heading1"/>
      </w:pPr>
    </w:p>
    <w:p w:rsidR="00B53833" w:rsidRPr="00884825" w:rsidRDefault="00B53833" w:rsidP="00884825">
      <w:pPr>
        <w:pStyle w:val="Heading1"/>
      </w:pPr>
      <w:r w:rsidRPr="00884825">
        <w:t>R4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Default="00B53833" w:rsidP="00B53833">
      <w:pPr>
        <w:widowControl w:val="0"/>
        <w:spacing w:line="266" w:lineRule="exact"/>
        <w:rPr>
          <w:rFonts w:ascii="Times New Roman" w:hAnsi="Times New Roman" w:cs="Times New Roman"/>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w:t>
      </w:r>
      <w:r w:rsidR="00003496">
        <w:rPr>
          <w:rFonts w:ascii="Times New Roman" w:hAnsi="Times New Roman" w:cs="Times New Roman"/>
          <w:b/>
          <w:bCs/>
          <w:i/>
          <w:iCs/>
          <w:sz w:val="24"/>
          <w:szCs w:val="24"/>
        </w:rPr>
        <w:t>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690474" w:rsidRDefault="00690474"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003D69">
        <w:rPr>
          <w:rFonts w:ascii="Times New Roman" w:hAnsi="Times New Roman" w:cs="Times New Roman"/>
          <w:b/>
          <w:bCs/>
          <w:color w:val="003366"/>
          <w:sz w:val="24"/>
          <w:szCs w:val="24"/>
        </w:rPr>
        <w:t>28</w:t>
      </w:r>
      <w:r w:rsidR="001D0C8A">
        <w:rPr>
          <w:rFonts w:ascii="Times New Roman" w:hAnsi="Times New Roman" w:cs="Times New Roman"/>
          <w:b/>
          <w:bCs/>
          <w:color w:val="003366"/>
          <w:sz w:val="24"/>
          <w:szCs w:val="24"/>
        </w:rPr>
        <w:t>-</w:t>
      </w:r>
      <w:r w:rsidR="0005386C">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003D69" w:rsidRPr="005E50A4" w:rsidRDefault="00003D69" w:rsidP="00003D69">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TOP, when calculating the TTC’s for ATC Paths, the TOP met the following conditions:</w:t>
      </w:r>
    </w:p>
    <w:p w:rsidR="00003D69" w:rsidRPr="005E50A4" w:rsidRDefault="00003D69" w:rsidP="00003D69">
      <w:pPr>
        <w:ind w:left="360"/>
        <w:rPr>
          <w:rFonts w:ascii="Times New Roman" w:hAnsi="Times New Roman" w:cs="Times New Roman"/>
          <w:color w:val="365F91"/>
          <w:sz w:val="24"/>
          <w:szCs w:val="24"/>
        </w:rPr>
      </w:pPr>
    </w:p>
    <w:p w:rsidR="00003D69" w:rsidRDefault="00003D69" w:rsidP="00003D69">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063123">
        <w:rPr>
          <w:rFonts w:ascii="Times New Roman" w:hAnsi="Times New Roman" w:cs="Times New Roman"/>
          <w:bCs/>
          <w:color w:val="365F91"/>
          <w:sz w:val="24"/>
          <w:szCs w:val="24"/>
        </w:rPr>
        <w:t>A</w:t>
      </w:r>
      <w:r>
        <w:rPr>
          <w:rFonts w:ascii="Times New Roman" w:hAnsi="Times New Roman" w:cs="Times New Roman"/>
          <w:color w:val="365F91"/>
          <w:sz w:val="24"/>
          <w:szCs w:val="24"/>
        </w:rPr>
        <w:t>ll Contingencies described in the ATCID were used.</w:t>
      </w:r>
    </w:p>
    <w:p w:rsidR="00003D69" w:rsidRPr="005E50A4" w:rsidRDefault="00003D69" w:rsidP="00003D69">
      <w:pPr>
        <w:ind w:left="360"/>
        <w:rPr>
          <w:rFonts w:ascii="Times New Roman" w:hAnsi="Times New Roman" w:cs="Times New Roman"/>
          <w:color w:val="365F91"/>
          <w:sz w:val="24"/>
          <w:szCs w:val="24"/>
        </w:rPr>
      </w:pPr>
    </w:p>
    <w:p w:rsidR="00003D69" w:rsidRDefault="00003D69" w:rsidP="00003D69">
      <w:pPr>
        <w:tabs>
          <w:tab w:val="left" w:pos="99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063123">
        <w:rPr>
          <w:rFonts w:ascii="Times New Roman" w:hAnsi="Times New Roman" w:cs="Times New Roman"/>
          <w:bCs/>
          <w:color w:val="365F91"/>
          <w:sz w:val="24"/>
          <w:szCs w:val="24"/>
        </w:rPr>
        <w:t>T</w:t>
      </w:r>
      <w:r>
        <w:rPr>
          <w:rFonts w:ascii="Times New Roman" w:hAnsi="Times New Roman" w:cs="Times New Roman"/>
          <w:color w:val="365F91"/>
          <w:sz w:val="24"/>
          <w:szCs w:val="24"/>
        </w:rPr>
        <w:t xml:space="preserve">he contractual allocations of TTC </w:t>
      </w:r>
      <w:r w:rsidR="00296D28">
        <w:rPr>
          <w:rFonts w:ascii="Times New Roman" w:hAnsi="Times New Roman" w:cs="Times New Roman"/>
          <w:color w:val="365F91"/>
          <w:sz w:val="24"/>
          <w:szCs w:val="24"/>
        </w:rPr>
        <w:t>were respected</w:t>
      </w:r>
      <w:r w:rsidR="009F603C">
        <w:rPr>
          <w:rFonts w:ascii="Times New Roman" w:hAnsi="Times New Roman" w:cs="Times New Roman"/>
          <w:color w:val="365F91"/>
          <w:sz w:val="24"/>
          <w:szCs w:val="24"/>
        </w:rPr>
        <w:t>.</w:t>
      </w:r>
    </w:p>
    <w:p w:rsidR="00003D69" w:rsidRDefault="00003D69" w:rsidP="005E50A4">
      <w:pPr>
        <w:ind w:left="360"/>
        <w:rPr>
          <w:rFonts w:ascii="Times New Roman" w:hAnsi="Times New Roman" w:cs="Times New Roman"/>
          <w:color w:val="365F91"/>
          <w:sz w:val="24"/>
          <w:szCs w:val="24"/>
        </w:rPr>
      </w:pPr>
    </w:p>
    <w:p w:rsidR="00296D28" w:rsidRDefault="00296D28" w:rsidP="00296D28">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063123">
        <w:rPr>
          <w:rFonts w:ascii="Times New Roman" w:hAnsi="Times New Roman" w:cs="Times New Roman"/>
          <w:bCs/>
          <w:color w:val="365F91"/>
          <w:sz w:val="24"/>
          <w:szCs w:val="24"/>
        </w:rPr>
        <w:t>T</w:t>
      </w:r>
      <w:r>
        <w:rPr>
          <w:rFonts w:ascii="Times New Roman" w:hAnsi="Times New Roman" w:cs="Times New Roman"/>
          <w:color w:val="365F91"/>
          <w:sz w:val="24"/>
          <w:szCs w:val="24"/>
        </w:rPr>
        <w:t>he Firm Transmission Service expected to be scheduled as specified in the ATCID</w:t>
      </w:r>
    </w:p>
    <w:p w:rsidR="00296D28" w:rsidRPr="005E50A4" w:rsidRDefault="00296D28" w:rsidP="00296D28">
      <w:pPr>
        <w:ind w:left="360"/>
        <w:rPr>
          <w:rFonts w:ascii="Times New Roman" w:hAnsi="Times New Roman" w:cs="Times New Roman"/>
          <w:color w:val="365F91"/>
          <w:sz w:val="24"/>
          <w:szCs w:val="24"/>
        </w:rPr>
      </w:pPr>
    </w:p>
    <w:p w:rsidR="00296D28" w:rsidRDefault="00296D28" w:rsidP="00296D28">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For the TSP</w:t>
      </w:r>
      <w:r w:rsidR="009F603C">
        <w:rPr>
          <w:rFonts w:ascii="Times New Roman" w:hAnsi="Times New Roman" w:cs="Times New Roman"/>
          <w:color w:val="365F91"/>
          <w:sz w:val="24"/>
          <w:szCs w:val="24"/>
        </w:rPr>
        <w:t>.</w:t>
      </w:r>
    </w:p>
    <w:p w:rsidR="00296D28" w:rsidRPr="005E50A4" w:rsidRDefault="00296D28" w:rsidP="00296D28">
      <w:pPr>
        <w:ind w:left="360"/>
        <w:rPr>
          <w:rFonts w:ascii="Times New Roman" w:hAnsi="Times New Roman" w:cs="Times New Roman"/>
          <w:color w:val="365F91"/>
          <w:sz w:val="24"/>
          <w:szCs w:val="24"/>
        </w:rPr>
      </w:pPr>
    </w:p>
    <w:p w:rsidR="00296D28" w:rsidRDefault="00296D28" w:rsidP="00296D28">
      <w:pPr>
        <w:tabs>
          <w:tab w:val="left" w:pos="1440"/>
        </w:tabs>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For all adjacent TSPs</w:t>
      </w:r>
      <w:r w:rsidR="009F603C">
        <w:rPr>
          <w:rFonts w:ascii="Times New Roman" w:hAnsi="Times New Roman" w:cs="Times New Roman"/>
          <w:color w:val="365F91"/>
          <w:sz w:val="24"/>
          <w:szCs w:val="24"/>
        </w:rPr>
        <w:t>.</w:t>
      </w:r>
    </w:p>
    <w:p w:rsidR="00296D28" w:rsidRDefault="00296D28" w:rsidP="00296D28">
      <w:pPr>
        <w:tabs>
          <w:tab w:val="left" w:pos="1440"/>
        </w:tabs>
        <w:rPr>
          <w:rFonts w:ascii="Times New Roman" w:hAnsi="Times New Roman" w:cs="Times New Roman"/>
          <w:color w:val="365F91"/>
          <w:sz w:val="24"/>
          <w:szCs w:val="24"/>
        </w:rPr>
      </w:pPr>
    </w:p>
    <w:p w:rsidR="00296D28" w:rsidRDefault="00296D28" w:rsidP="00296D28">
      <w:pPr>
        <w:tabs>
          <w:tab w:val="left" w:pos="1440"/>
        </w:tabs>
        <w:rPr>
          <w:rFonts w:ascii="Times New Roman" w:hAnsi="Times New Roman" w:cs="Times New Roman"/>
          <w:color w:val="365F91"/>
          <w:sz w:val="24"/>
          <w:szCs w:val="24"/>
        </w:rPr>
      </w:pPr>
      <w:r>
        <w:rPr>
          <w:rFonts w:ascii="Times New Roman" w:hAnsi="Times New Roman" w:cs="Times New Roman"/>
          <w:color w:val="365F91"/>
          <w:sz w:val="24"/>
          <w:szCs w:val="24"/>
        </w:rPr>
        <w:tab/>
        <w:t>(and)</w:t>
      </w:r>
    </w:p>
    <w:p w:rsidR="00296D28" w:rsidRPr="005E50A4" w:rsidRDefault="00296D28" w:rsidP="00296D28">
      <w:pPr>
        <w:ind w:left="360"/>
        <w:rPr>
          <w:rFonts w:ascii="Times New Roman" w:hAnsi="Times New Roman" w:cs="Times New Roman"/>
          <w:color w:val="365F91"/>
          <w:sz w:val="24"/>
          <w:szCs w:val="24"/>
        </w:rPr>
      </w:pPr>
    </w:p>
    <w:p w:rsidR="00063123" w:rsidRDefault="00296D28" w:rsidP="00063123">
      <w:pPr>
        <w:tabs>
          <w:tab w:val="left" w:pos="1440"/>
        </w:tabs>
        <w:ind w:firstLine="144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Any TSP which </w:t>
      </w:r>
      <w:r w:rsidR="00063123">
        <w:rPr>
          <w:rFonts w:ascii="Times New Roman" w:hAnsi="Times New Roman" w:cs="Times New Roman"/>
          <w:color w:val="365F91"/>
          <w:sz w:val="24"/>
          <w:szCs w:val="24"/>
        </w:rPr>
        <w:t xml:space="preserve">coordination agreements </w:t>
      </w:r>
      <w:r>
        <w:rPr>
          <w:rFonts w:ascii="Times New Roman" w:hAnsi="Times New Roman" w:cs="Times New Roman"/>
          <w:color w:val="365F91"/>
          <w:sz w:val="24"/>
          <w:szCs w:val="24"/>
        </w:rPr>
        <w:t xml:space="preserve">have been executed modeling the source and </w:t>
      </w:r>
      <w:r w:rsidR="00063123">
        <w:rPr>
          <w:rFonts w:ascii="Times New Roman" w:hAnsi="Times New Roman" w:cs="Times New Roman"/>
          <w:color w:val="365F91"/>
          <w:sz w:val="24"/>
          <w:szCs w:val="24"/>
        </w:rPr>
        <w:tab/>
      </w:r>
      <w:r w:rsidR="00063123">
        <w:rPr>
          <w:rFonts w:ascii="Times New Roman" w:hAnsi="Times New Roman" w:cs="Times New Roman"/>
          <w:color w:val="365F91"/>
          <w:sz w:val="24"/>
          <w:szCs w:val="24"/>
        </w:rPr>
        <w:tab/>
      </w:r>
      <w:r w:rsidR="00063123">
        <w:rPr>
          <w:rFonts w:ascii="Times New Roman" w:hAnsi="Times New Roman" w:cs="Times New Roman"/>
          <w:color w:val="365F91"/>
          <w:sz w:val="24"/>
          <w:szCs w:val="24"/>
        </w:rPr>
        <w:tab/>
      </w:r>
    </w:p>
    <w:p w:rsidR="00296D28" w:rsidRDefault="00296D28" w:rsidP="00063123">
      <w:pPr>
        <w:tabs>
          <w:tab w:val="left" w:pos="1440"/>
        </w:tabs>
        <w:ind w:firstLine="1890"/>
        <w:rPr>
          <w:rFonts w:ascii="Times New Roman" w:hAnsi="Times New Roman" w:cs="Times New Roman"/>
          <w:color w:val="365F91"/>
          <w:sz w:val="24"/>
          <w:szCs w:val="24"/>
        </w:rPr>
      </w:pPr>
      <w:r>
        <w:rPr>
          <w:rFonts w:ascii="Times New Roman" w:hAnsi="Times New Roman" w:cs="Times New Roman"/>
          <w:color w:val="365F91"/>
          <w:sz w:val="24"/>
          <w:szCs w:val="24"/>
        </w:rPr>
        <w:t>sink as follows:</w:t>
      </w:r>
    </w:p>
    <w:p w:rsidR="00296D28" w:rsidRPr="005E50A4" w:rsidRDefault="00296D28" w:rsidP="00296D28">
      <w:pPr>
        <w:ind w:left="360"/>
        <w:rPr>
          <w:rFonts w:ascii="Times New Roman" w:hAnsi="Times New Roman" w:cs="Times New Roman"/>
          <w:color w:val="365F91"/>
          <w:sz w:val="24"/>
          <w:szCs w:val="24"/>
        </w:rPr>
      </w:pPr>
    </w:p>
    <w:p w:rsidR="00296D28" w:rsidRDefault="00296D28" w:rsidP="00A74BB4">
      <w:pPr>
        <w:tabs>
          <w:tab w:val="left" w:pos="1890"/>
        </w:tabs>
        <w:ind w:left="1891" w:hanging="2340"/>
        <w:rPr>
          <w:rFonts w:ascii="Times New Roman" w:hAnsi="Times New Roman" w:cs="Times New Roman"/>
          <w:color w:val="365F91"/>
          <w:sz w:val="24"/>
          <w:szCs w:val="24"/>
        </w:rPr>
      </w:pPr>
      <w:bookmarkStart w:id="5" w:name="OLE_LINK5"/>
      <w:bookmarkStart w:id="6" w:name="OLE_LINK6"/>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690474">
        <w:rPr>
          <w:rFonts w:ascii="Times New Roman" w:hAnsi="Times New Roman" w:cs="Times New Roman"/>
          <w:bCs/>
          <w:color w:val="365F91"/>
          <w:sz w:val="24"/>
          <w:szCs w:val="24"/>
        </w:rPr>
        <w:t xml:space="preserve">Verify the TSP used the discretely modeled point </w:t>
      </w:r>
      <w:r w:rsidR="00690474">
        <w:rPr>
          <w:rFonts w:ascii="Times New Roman" w:hAnsi="Times New Roman" w:cs="Times New Roman"/>
          <w:color w:val="365F91"/>
          <w:sz w:val="24"/>
          <w:szCs w:val="24"/>
        </w:rPr>
        <w:t>in the TSPs in the reservation as the source,</w:t>
      </w:r>
      <w:r w:rsidR="00690474" w:rsidRPr="00690474">
        <w:rPr>
          <w:rFonts w:ascii="Times New Roman" w:hAnsi="Times New Roman" w:cs="Times New Roman"/>
          <w:bCs/>
          <w:color w:val="365F91"/>
          <w:sz w:val="24"/>
          <w:szCs w:val="24"/>
        </w:rPr>
        <w:t xml:space="preserve"> </w:t>
      </w:r>
      <w:r w:rsidR="00690474">
        <w:rPr>
          <w:rFonts w:ascii="Times New Roman" w:hAnsi="Times New Roman" w:cs="Times New Roman"/>
          <w:bCs/>
          <w:color w:val="365F91"/>
          <w:sz w:val="24"/>
          <w:szCs w:val="24"/>
        </w:rPr>
        <w:t>if identified in the TSPs Transmission model, as the source.</w:t>
      </w:r>
    </w:p>
    <w:p w:rsidR="00296D28" w:rsidRDefault="00296D28" w:rsidP="00296D28">
      <w:pPr>
        <w:tabs>
          <w:tab w:val="left" w:pos="1440"/>
        </w:tabs>
        <w:rPr>
          <w:rFonts w:ascii="Times New Roman" w:hAnsi="Times New Roman" w:cs="Times New Roman"/>
          <w:color w:val="365F91"/>
          <w:sz w:val="24"/>
          <w:szCs w:val="24"/>
        </w:rPr>
      </w:pPr>
    </w:p>
    <w:p w:rsidR="00003D69" w:rsidRDefault="00296D28" w:rsidP="00A14DD4">
      <w:pPr>
        <w:tabs>
          <w:tab w:val="left" w:pos="1890"/>
        </w:tabs>
        <w:ind w:left="1891" w:hanging="234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690474">
        <w:rPr>
          <w:rFonts w:ascii="Times New Roman" w:hAnsi="Times New Roman" w:cs="Times New Roman"/>
          <w:bCs/>
          <w:color w:val="365F91"/>
          <w:sz w:val="24"/>
          <w:szCs w:val="24"/>
        </w:rPr>
        <w:t>T</w:t>
      </w:r>
      <w:r w:rsidR="00562F9B">
        <w:rPr>
          <w:rFonts w:ascii="Times New Roman" w:hAnsi="Times New Roman" w:cs="Times New Roman"/>
          <w:bCs/>
          <w:color w:val="365F91"/>
          <w:sz w:val="24"/>
          <w:szCs w:val="24"/>
        </w:rPr>
        <w:t xml:space="preserve">he TSP used the modeled equivalence or aggregate representation in the </w:t>
      </w:r>
      <w:r w:rsidR="00562F9B">
        <w:rPr>
          <w:rFonts w:ascii="Times New Roman" w:hAnsi="Times New Roman" w:cs="Times New Roman"/>
          <w:bCs/>
          <w:color w:val="365F91"/>
          <w:sz w:val="24"/>
          <w:szCs w:val="24"/>
        </w:rPr>
        <w:tab/>
        <w:t>reservation</w:t>
      </w:r>
      <w:r w:rsidR="00A14DD4">
        <w:rPr>
          <w:rFonts w:ascii="Times New Roman" w:hAnsi="Times New Roman" w:cs="Times New Roman"/>
          <w:bCs/>
          <w:color w:val="365F91"/>
          <w:sz w:val="24"/>
          <w:szCs w:val="24"/>
        </w:rPr>
        <w:t>,</w:t>
      </w:r>
      <w:r w:rsidR="00562F9B">
        <w:rPr>
          <w:rFonts w:ascii="Times New Roman" w:hAnsi="Times New Roman" w:cs="Times New Roman"/>
          <w:bCs/>
          <w:color w:val="365F91"/>
          <w:sz w:val="24"/>
          <w:szCs w:val="24"/>
        </w:rPr>
        <w:t xml:space="preserve"> if identified in the TSPs Transmission model</w:t>
      </w:r>
      <w:r w:rsidR="00A14DD4">
        <w:rPr>
          <w:rFonts w:ascii="Times New Roman" w:hAnsi="Times New Roman" w:cs="Times New Roman"/>
          <w:bCs/>
          <w:color w:val="365F91"/>
          <w:sz w:val="24"/>
          <w:szCs w:val="24"/>
        </w:rPr>
        <w:t>, as the source</w:t>
      </w:r>
      <w:r w:rsidR="00562F9B">
        <w:rPr>
          <w:rFonts w:ascii="Times New Roman" w:hAnsi="Times New Roman" w:cs="Times New Roman"/>
          <w:bCs/>
          <w:color w:val="365F91"/>
          <w:sz w:val="24"/>
          <w:szCs w:val="24"/>
        </w:rPr>
        <w:t>.</w:t>
      </w:r>
    </w:p>
    <w:p w:rsidR="00562F9B" w:rsidRPr="005E50A4" w:rsidRDefault="00562F9B" w:rsidP="00562F9B">
      <w:pPr>
        <w:ind w:left="360"/>
        <w:rPr>
          <w:rFonts w:ascii="Times New Roman" w:hAnsi="Times New Roman" w:cs="Times New Roman"/>
          <w:color w:val="365F91"/>
          <w:sz w:val="24"/>
          <w:szCs w:val="24"/>
        </w:rPr>
      </w:pPr>
    </w:p>
    <w:p w:rsidR="00562F9B" w:rsidRDefault="00562F9B" w:rsidP="00562F9B">
      <w:pPr>
        <w:tabs>
          <w:tab w:val="left" w:pos="2340"/>
        </w:tabs>
        <w:ind w:left="1892" w:hanging="1888"/>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B320B2">
        <w:rPr>
          <w:rFonts w:ascii="Times New Roman" w:hAnsi="Times New Roman" w:cs="Times New Roman"/>
          <w:bCs/>
          <w:color w:val="365F91"/>
          <w:sz w:val="24"/>
          <w:szCs w:val="24"/>
        </w:rPr>
        <w:t>T</w:t>
      </w:r>
      <w:r>
        <w:rPr>
          <w:rFonts w:ascii="Times New Roman" w:hAnsi="Times New Roman" w:cs="Times New Roman"/>
          <w:bCs/>
          <w:color w:val="365F91"/>
          <w:sz w:val="24"/>
          <w:szCs w:val="24"/>
        </w:rPr>
        <w:t xml:space="preserve">he TSP used the </w:t>
      </w:r>
      <w:r w:rsidR="00EB3EFB">
        <w:rPr>
          <w:rFonts w:ascii="Times New Roman" w:hAnsi="Times New Roman" w:cs="Times New Roman"/>
          <w:bCs/>
          <w:color w:val="365F91"/>
          <w:sz w:val="24"/>
          <w:szCs w:val="24"/>
        </w:rPr>
        <w:t>immediately adjacent BA as the source if</w:t>
      </w:r>
      <w:r w:rsidR="00A14DD4">
        <w:rPr>
          <w:rFonts w:ascii="Times New Roman" w:hAnsi="Times New Roman" w:cs="Times New Roman"/>
          <w:bCs/>
          <w:color w:val="365F91"/>
          <w:sz w:val="24"/>
          <w:szCs w:val="24"/>
        </w:rPr>
        <w:t xml:space="preserve"> the</w:t>
      </w:r>
      <w:r w:rsidR="00EB3EFB">
        <w:rPr>
          <w:rFonts w:ascii="Times New Roman" w:hAnsi="Times New Roman" w:cs="Times New Roman"/>
          <w:bCs/>
          <w:color w:val="365F91"/>
          <w:sz w:val="24"/>
          <w:szCs w:val="24"/>
        </w:rPr>
        <w:t xml:space="preserve"> identified source in the reservation cannot be mapped to a discretely modeled point, an equivalence or an aggregated representation in the TSPs Transmission model.</w:t>
      </w:r>
    </w:p>
    <w:p w:rsidR="00562F9B" w:rsidRDefault="00562F9B" w:rsidP="00562F9B">
      <w:pPr>
        <w:tabs>
          <w:tab w:val="left" w:pos="1440"/>
        </w:tabs>
        <w:rPr>
          <w:rFonts w:ascii="Times New Roman" w:hAnsi="Times New Roman" w:cs="Times New Roman"/>
          <w:color w:val="365F91"/>
          <w:sz w:val="24"/>
          <w:szCs w:val="24"/>
        </w:rPr>
      </w:pPr>
    </w:p>
    <w:p w:rsidR="00003D69" w:rsidRDefault="00562F9B" w:rsidP="00EB3EFB">
      <w:pPr>
        <w:tabs>
          <w:tab w:val="left" w:pos="1890"/>
        </w:tabs>
        <w:ind w:left="1891" w:hanging="2340"/>
        <w:rPr>
          <w:rFonts w:ascii="Times New Roman" w:hAnsi="Times New Roman" w:cs="Times New Roman"/>
          <w:bCs/>
          <w:color w:val="365F91"/>
          <w:sz w:val="24"/>
          <w:szCs w:val="24"/>
        </w:rPr>
      </w:pPr>
      <w:r>
        <w:rPr>
          <w:rFonts w:ascii="Times New Roman" w:hAnsi="Times New Roman" w:cs="Times New Roman"/>
          <w:bCs/>
          <w:color w:val="365F91"/>
          <w:sz w:val="24"/>
          <w:szCs w:val="24"/>
        </w:rPr>
        <w:tab/>
      </w:r>
      <w:r w:rsidR="00EB3EFB" w:rsidRPr="005E50A4">
        <w:rPr>
          <w:rFonts w:ascii="Times New Roman" w:hAnsi="Times New Roman" w:cs="Times New Roman"/>
          <w:bCs/>
          <w:color w:val="365F91"/>
          <w:sz w:val="24"/>
          <w:szCs w:val="24"/>
        </w:rPr>
        <w:t xml:space="preserve">___ </w:t>
      </w:r>
      <w:r w:rsidR="00EB3EFB">
        <w:rPr>
          <w:rFonts w:ascii="Times New Roman" w:hAnsi="Times New Roman" w:cs="Times New Roman"/>
          <w:bCs/>
          <w:color w:val="365F91"/>
          <w:sz w:val="24"/>
          <w:szCs w:val="24"/>
        </w:rPr>
        <w:t>Verify the TSP used the immediately adjacent BA as the source if the source has not been identified in the reservation.</w:t>
      </w:r>
    </w:p>
    <w:bookmarkEnd w:id="5"/>
    <w:bookmarkEnd w:id="6"/>
    <w:p w:rsidR="00EB3EFB" w:rsidRDefault="00EB3EFB" w:rsidP="00EB3EFB">
      <w:pPr>
        <w:tabs>
          <w:tab w:val="left" w:pos="1890"/>
        </w:tabs>
        <w:ind w:left="1891" w:hanging="2340"/>
        <w:rPr>
          <w:rFonts w:ascii="Times New Roman" w:hAnsi="Times New Roman" w:cs="Times New Roman"/>
          <w:bCs/>
          <w:color w:val="365F91"/>
          <w:sz w:val="24"/>
          <w:szCs w:val="24"/>
        </w:rPr>
      </w:pPr>
    </w:p>
    <w:p w:rsidR="00B320B2" w:rsidRDefault="00B320B2" w:rsidP="00B320B2">
      <w:pPr>
        <w:tabs>
          <w:tab w:val="left" w:pos="1890"/>
        </w:tabs>
        <w:ind w:left="1891" w:hanging="234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 xml:space="preserve">Verify the TSP used the discretely modeled point </w:t>
      </w:r>
      <w:r>
        <w:rPr>
          <w:rFonts w:ascii="Times New Roman" w:hAnsi="Times New Roman" w:cs="Times New Roman"/>
          <w:color w:val="365F91"/>
          <w:sz w:val="24"/>
          <w:szCs w:val="24"/>
        </w:rPr>
        <w:t>in the TSPs in the reservation as the sink,</w:t>
      </w:r>
      <w:r w:rsidRPr="0069047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if identified in the TSPs Transmission model, as the sink.</w:t>
      </w:r>
    </w:p>
    <w:p w:rsidR="00B320B2" w:rsidRDefault="00B320B2" w:rsidP="00B320B2">
      <w:pPr>
        <w:tabs>
          <w:tab w:val="left" w:pos="1440"/>
        </w:tabs>
        <w:rPr>
          <w:rFonts w:ascii="Times New Roman" w:hAnsi="Times New Roman" w:cs="Times New Roman"/>
          <w:color w:val="365F91"/>
          <w:sz w:val="24"/>
          <w:szCs w:val="24"/>
        </w:rPr>
      </w:pPr>
    </w:p>
    <w:p w:rsidR="00B320B2" w:rsidRDefault="00B320B2" w:rsidP="00B320B2">
      <w:pPr>
        <w:tabs>
          <w:tab w:val="left" w:pos="1890"/>
        </w:tabs>
        <w:ind w:left="1891" w:hanging="234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 xml:space="preserve">The TSP used the modeled equivalence or aggregate representation in the </w:t>
      </w:r>
      <w:r>
        <w:rPr>
          <w:rFonts w:ascii="Times New Roman" w:hAnsi="Times New Roman" w:cs="Times New Roman"/>
          <w:bCs/>
          <w:color w:val="365F91"/>
          <w:sz w:val="24"/>
          <w:szCs w:val="24"/>
        </w:rPr>
        <w:tab/>
        <w:t>reservation, if identified in the TSPs Transmission model, as the sink.</w:t>
      </w:r>
    </w:p>
    <w:p w:rsidR="00A14DD4" w:rsidRPr="005E50A4" w:rsidRDefault="00A14DD4" w:rsidP="00A14DD4">
      <w:pPr>
        <w:ind w:left="360"/>
        <w:rPr>
          <w:rFonts w:ascii="Times New Roman" w:hAnsi="Times New Roman" w:cs="Times New Roman"/>
          <w:color w:val="365F91"/>
          <w:sz w:val="24"/>
          <w:szCs w:val="24"/>
        </w:rPr>
      </w:pPr>
    </w:p>
    <w:p w:rsidR="00A14DD4" w:rsidRDefault="00A14DD4" w:rsidP="00A14DD4">
      <w:pPr>
        <w:tabs>
          <w:tab w:val="left" w:pos="2340"/>
        </w:tabs>
        <w:ind w:left="1892" w:hanging="1888"/>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Verify the TSP used the immediately adjacent BA as the sink, if the identified sink in the reservation cannot be mapped to a discretely modeled point, an equivalence or an aggregated representation in the TSPs Transmission model.</w:t>
      </w:r>
    </w:p>
    <w:p w:rsidR="00A14DD4" w:rsidRDefault="00A14DD4" w:rsidP="00A14DD4">
      <w:pPr>
        <w:tabs>
          <w:tab w:val="left" w:pos="1440"/>
        </w:tabs>
        <w:rPr>
          <w:rFonts w:ascii="Times New Roman" w:hAnsi="Times New Roman" w:cs="Times New Roman"/>
          <w:color w:val="365F91"/>
          <w:sz w:val="24"/>
          <w:szCs w:val="24"/>
        </w:rPr>
      </w:pPr>
    </w:p>
    <w:p w:rsidR="00A14DD4" w:rsidRDefault="00A14DD4" w:rsidP="00A14DD4">
      <w:pPr>
        <w:tabs>
          <w:tab w:val="left" w:pos="1890"/>
        </w:tabs>
        <w:ind w:left="1891" w:hanging="2340"/>
        <w:rPr>
          <w:rFonts w:ascii="Times New Roman" w:hAnsi="Times New Roman" w:cs="Times New Roman"/>
          <w:bCs/>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Verify the TSP used the immediately adjacent BA as the sink if the sink has not been identified in the reservation.</w:t>
      </w:r>
    </w:p>
    <w:p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bookmarkStart w:id="7" w:name="FERC"/>
      <w:bookmarkEnd w:id="7"/>
    </w:p>
    <w:p w:rsidR="00E24E44" w:rsidRPr="006E2ADB" w:rsidRDefault="00E24E44" w:rsidP="00E24E44">
      <w:pPr>
        <w:pStyle w:val="Requirement"/>
        <w:tabs>
          <w:tab w:val="clear" w:pos="720"/>
          <w:tab w:val="num" w:pos="936"/>
          <w:tab w:val="left" w:pos="2592"/>
        </w:tabs>
        <w:ind w:left="936" w:hanging="576"/>
        <w:rPr>
          <w:i/>
        </w:rPr>
      </w:pPr>
      <w:r w:rsidRPr="009C6ABA">
        <w:t xml:space="preserve">Each Transmission Operator shall </w:t>
      </w:r>
      <w:r>
        <w:t>establish</w:t>
      </w:r>
      <w:r w:rsidRPr="009C6ABA">
        <w:t xml:space="preserve"> TTC for each </w:t>
      </w:r>
      <w:r>
        <w:t>ATC</w:t>
      </w:r>
      <w:r w:rsidRPr="009C6ABA">
        <w:t xml:space="preserve"> Path as defined below</w:t>
      </w:r>
      <w:r>
        <w:t>:</w:t>
      </w:r>
      <w:r w:rsidRPr="009C6ABA">
        <w:t xml:space="preserve">  </w:t>
      </w:r>
      <w:r w:rsidRPr="006E2ADB">
        <w:rPr>
          <w:i/>
        </w:rPr>
        <w:t>[Violation Risk Factor: Lower] [Time Horizon: Operations Planning]</w:t>
      </w:r>
    </w:p>
    <w:p w:rsidR="00E24E44" w:rsidRDefault="00E24E44" w:rsidP="00E24E44">
      <w:pPr>
        <w:pStyle w:val="Requirement"/>
        <w:numPr>
          <w:ilvl w:val="1"/>
          <w:numId w:val="5"/>
        </w:numPr>
        <w:tabs>
          <w:tab w:val="left" w:pos="2592"/>
        </w:tabs>
        <w:ind w:left="1728"/>
      </w:pPr>
      <w:r w:rsidRPr="009C6ABA">
        <w:t xml:space="preserve">At least once </w:t>
      </w:r>
      <w:r>
        <w:t xml:space="preserve">within the seven calendar days prior to the specified period </w:t>
      </w:r>
      <w:r w:rsidRPr="009C6ABA">
        <w:t xml:space="preserve">for TTCs used in hourly </w:t>
      </w:r>
      <w:r>
        <w:t xml:space="preserve">and </w:t>
      </w:r>
      <w:r w:rsidRPr="009C6ABA">
        <w:t>daily ATC calculations</w:t>
      </w:r>
      <w:r>
        <w:t>.</w:t>
      </w:r>
      <w:r w:rsidRPr="009C6ABA">
        <w:t xml:space="preserve">  </w:t>
      </w:r>
    </w:p>
    <w:p w:rsidR="00E24E44" w:rsidRDefault="00E24E44" w:rsidP="00E24E44">
      <w:pPr>
        <w:pStyle w:val="Requirement"/>
        <w:numPr>
          <w:ilvl w:val="1"/>
          <w:numId w:val="5"/>
        </w:numPr>
        <w:tabs>
          <w:tab w:val="left" w:pos="2592"/>
        </w:tabs>
        <w:ind w:left="1728"/>
      </w:pPr>
      <w:r w:rsidRPr="00623CA0">
        <w:t>At least once per calendar month for TTCs used in monthly ATC calculations</w:t>
      </w:r>
      <w:r>
        <w:t>.</w:t>
      </w:r>
    </w:p>
    <w:p w:rsidR="00E24E44" w:rsidRDefault="00E24E44" w:rsidP="00E24E44">
      <w:pPr>
        <w:pStyle w:val="Requirement"/>
        <w:numPr>
          <w:ilvl w:val="1"/>
          <w:numId w:val="5"/>
        </w:numPr>
        <w:tabs>
          <w:tab w:val="left" w:pos="2592"/>
        </w:tabs>
        <w:ind w:left="1728"/>
      </w:pPr>
      <w:r w:rsidRPr="00BB7F17">
        <w:t>Within 24 hours of the unexpected outage of a 500 kV or higher transmission Facility or a transformer with a low-side voltage of 200 kV or higher for TTCs  in effect during the anticipated duration of the outage</w:t>
      </w:r>
      <w:r>
        <w:t>,</w:t>
      </w:r>
      <w:r w:rsidRPr="00BB7F17">
        <w:t xml:space="preserve"> provided such outage is expected to last 24 hours or longer.</w:t>
      </w:r>
    </w:p>
    <w:p w:rsidR="00A52681" w:rsidRPr="001F467C" w:rsidRDefault="00A52681" w:rsidP="00A52681">
      <w:pPr>
        <w:pStyle w:val="Requirement"/>
        <w:numPr>
          <w:ilvl w:val="0"/>
          <w:numId w:val="0"/>
        </w:numPr>
        <w:spacing w:after="0" w:line="360" w:lineRule="exact"/>
      </w:pPr>
    </w:p>
    <w:p w:rsidR="00F4702D" w:rsidRPr="00986BD2" w:rsidRDefault="00F4702D" w:rsidP="00F4702D">
      <w:pPr>
        <w:tabs>
          <w:tab w:val="left" w:pos="990"/>
        </w:tabs>
        <w:ind w:left="990" w:hanging="990"/>
        <w:rPr>
          <w:rFonts w:ascii="Times New Roman" w:hAnsi="Times New Roman" w:cs="Times New Roman"/>
          <w:bCs/>
          <w:sz w:val="24"/>
          <w:szCs w:val="24"/>
        </w:rPr>
      </w:pPr>
      <w:r>
        <w:rPr>
          <w:rFonts w:ascii="Times New Roman" w:hAnsi="Times New Roman" w:cs="Times New Roman"/>
          <w:b/>
          <w:bCs/>
          <w:sz w:val="24"/>
          <w:szCs w:val="24"/>
        </w:rPr>
        <w:tab/>
      </w:r>
      <w:r w:rsidRPr="003231ED">
        <w:rPr>
          <w:rFonts w:ascii="Times New Roman" w:hAnsi="Times New Roman" w:cs="Times New Roman"/>
          <w:b/>
          <w:bCs/>
          <w:sz w:val="24"/>
          <w:szCs w:val="24"/>
        </w:rPr>
        <w:t xml:space="preserve">Question: </w:t>
      </w:r>
      <w:r w:rsidR="008366C5">
        <w:rPr>
          <w:rFonts w:ascii="Times New Roman" w:hAnsi="Times New Roman" w:cs="Times New Roman"/>
          <w:b/>
          <w:bCs/>
          <w:sz w:val="24"/>
          <w:szCs w:val="24"/>
        </w:rPr>
        <w:t xml:space="preserve">R5.3 </w:t>
      </w:r>
      <w:r w:rsidRPr="00986BD2">
        <w:rPr>
          <w:rFonts w:ascii="Times New Roman" w:hAnsi="Times New Roman" w:cs="Times New Roman"/>
          <w:bCs/>
          <w:sz w:val="24"/>
          <w:szCs w:val="24"/>
        </w:rPr>
        <w:t>Did the TOP have an unexpected outage of a 500 kV or higher transmission facility or a transformer with a low-side voltage of 200 kV or higher which is expected to last 24 hours or longer?</w:t>
      </w:r>
    </w:p>
    <w:p w:rsidR="00F4702D" w:rsidRPr="00986BD2" w:rsidRDefault="00986BD2" w:rsidP="00F4702D">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     </w:t>
      </w:r>
      <w:r w:rsidR="00F4702D" w:rsidRPr="00986BD2">
        <w:rPr>
          <w:rFonts w:ascii="Times New Roman" w:hAnsi="Times New Roman" w:cs="Times New Roman"/>
          <w:bCs/>
          <w:sz w:val="24"/>
          <w:szCs w:val="24"/>
        </w:rPr>
        <w:t>If yes, provide evidence of compliance</w:t>
      </w:r>
      <w:r w:rsidR="00621FD4" w:rsidRPr="00986BD2">
        <w:rPr>
          <w:rFonts w:ascii="Times New Roman" w:hAnsi="Times New Roman" w:cs="Times New Roman"/>
          <w:bCs/>
          <w:sz w:val="24"/>
          <w:szCs w:val="24"/>
        </w:rPr>
        <w:t xml:space="preserve"> of establishment of TTC</w:t>
      </w:r>
      <w:r w:rsidR="00F4702D" w:rsidRPr="00986BD2">
        <w:rPr>
          <w:rFonts w:ascii="Times New Roman" w:hAnsi="Times New Roman" w:cs="Times New Roman"/>
          <w:bCs/>
          <w:sz w:val="24"/>
          <w:szCs w:val="24"/>
        </w:rPr>
        <w:t>.</w:t>
      </w:r>
    </w:p>
    <w:p w:rsidR="00F4702D" w:rsidRPr="00606BE4" w:rsidRDefault="00F4702D" w:rsidP="00F4702D">
      <w:pPr>
        <w:tabs>
          <w:tab w:val="left" w:pos="1350"/>
          <w:tab w:val="left" w:pos="1530"/>
        </w:tabs>
        <w:ind w:left="1980" w:hanging="1974"/>
        <w:rPr>
          <w:rFonts w:ascii="Times New Roman" w:hAnsi="Times New Roman" w:cs="Times New Roman"/>
          <w:b/>
          <w:bCs/>
          <w:color w:val="264D74"/>
          <w:sz w:val="24"/>
          <w:szCs w:val="24"/>
        </w:rPr>
      </w:pPr>
      <w:r>
        <w:rPr>
          <w:rFonts w:ascii="Times New Roman" w:hAnsi="Times New Roman" w:cs="Times New Roman"/>
          <w:b/>
          <w:bCs/>
          <w:color w:val="264D74"/>
          <w:sz w:val="24"/>
          <w:szCs w:val="24"/>
        </w:rPr>
        <w:tab/>
      </w:r>
    </w:p>
    <w:p w:rsidR="00F4702D" w:rsidRPr="00003496" w:rsidRDefault="00F4702D" w:rsidP="00003496">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color w:val="365F91"/>
          <w:sz w:val="24"/>
          <w:szCs w:val="24"/>
        </w:rPr>
        <w:tab/>
        <w:t>(</w:t>
      </w:r>
      <w:r w:rsidRPr="009C039C">
        <w:rPr>
          <w:rFonts w:ascii="Times New Roman" w:hAnsi="Times New Roman" w:cs="Times New Roman"/>
          <w:b/>
          <w:bCs/>
          <w:i/>
          <w:iCs/>
          <w:color w:val="000000"/>
          <w:sz w:val="24"/>
          <w:szCs w:val="24"/>
        </w:rPr>
        <w:t>Registered Entity Response Required)</w:t>
      </w:r>
    </w:p>
    <w:p w:rsidR="00F4702D" w:rsidRDefault="00F4702D" w:rsidP="00F4702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A4F3E" w:rsidRPr="001F467C" w:rsidRDefault="002A4F3E" w:rsidP="00F4702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F4702D" w:rsidRDefault="00F4702D" w:rsidP="00A52681">
      <w:pPr>
        <w:widowControl w:val="0"/>
        <w:tabs>
          <w:tab w:val="left" w:pos="720"/>
        </w:tabs>
        <w:spacing w:line="294" w:lineRule="exact"/>
        <w:ind w:left="720"/>
        <w:rPr>
          <w:rFonts w:ascii="Times New Roman" w:hAnsi="Times New Roman" w:cs="Times New Roman"/>
          <w:b/>
          <w:bCs/>
          <w:sz w:val="24"/>
          <w:szCs w:val="24"/>
        </w:rPr>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003496" w:rsidRDefault="00A52681" w:rsidP="00003496">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R5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A14DD4">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05386C">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E24E44">
        <w:rPr>
          <w:rFonts w:ascii="Times New Roman" w:hAnsi="Times New Roman" w:cs="Times New Roman"/>
          <w:b/>
          <w:bCs/>
          <w:color w:val="003366"/>
          <w:sz w:val="24"/>
          <w:szCs w:val="24"/>
        </w:rPr>
        <w:t>5</w:t>
      </w:r>
    </w:p>
    <w:p w:rsidR="00A14DD4" w:rsidRPr="005E50A4" w:rsidRDefault="00A14DD4" w:rsidP="00A14DD4">
      <w:pPr>
        <w:rPr>
          <w:rFonts w:ascii="Times New Roman" w:hAnsi="Times New Roman" w:cs="Times New Roman"/>
          <w:color w:val="365F91"/>
          <w:sz w:val="24"/>
          <w:szCs w:val="24"/>
        </w:rPr>
      </w:pPr>
    </w:p>
    <w:p w:rsidR="00A14DD4" w:rsidRPr="005E50A4" w:rsidRDefault="00A14DD4" w:rsidP="00A14DD4">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w:t>
      </w:r>
      <w:r w:rsidR="00753320">
        <w:rPr>
          <w:rFonts w:ascii="Times New Roman" w:hAnsi="Times New Roman" w:cs="Times New Roman"/>
          <w:color w:val="365F91"/>
          <w:sz w:val="24"/>
          <w:szCs w:val="24"/>
        </w:rPr>
        <w:t>the TOP established TTCs for each ATC path as defined below</w:t>
      </w:r>
      <w:r>
        <w:rPr>
          <w:rFonts w:ascii="Times New Roman" w:hAnsi="Times New Roman" w:cs="Times New Roman"/>
          <w:color w:val="365F91"/>
          <w:sz w:val="24"/>
          <w:szCs w:val="24"/>
        </w:rPr>
        <w:t>:</w:t>
      </w:r>
    </w:p>
    <w:p w:rsidR="00A14DD4" w:rsidRDefault="00A14DD4" w:rsidP="00A14DD4">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984472">
        <w:rPr>
          <w:rFonts w:ascii="Times New Roman" w:hAnsi="Times New Roman" w:cs="Times New Roman"/>
          <w:color w:val="365F91"/>
          <w:sz w:val="24"/>
          <w:szCs w:val="24"/>
        </w:rPr>
        <w:t>T</w:t>
      </w:r>
      <w:r w:rsidR="00753320">
        <w:rPr>
          <w:rFonts w:ascii="Times New Roman" w:hAnsi="Times New Roman" w:cs="Times New Roman"/>
          <w:color w:val="365F91"/>
          <w:sz w:val="24"/>
          <w:szCs w:val="24"/>
        </w:rPr>
        <w:t>he TOP established TTCs at least once within 7 calendar days prior to the specified period for TTCs used in the hourly and daily ATC calculations.</w:t>
      </w:r>
    </w:p>
    <w:p w:rsidR="00A14DD4" w:rsidRPr="005E50A4" w:rsidRDefault="00A14DD4" w:rsidP="00A14DD4">
      <w:pPr>
        <w:ind w:left="360"/>
        <w:rPr>
          <w:rFonts w:ascii="Times New Roman" w:hAnsi="Times New Roman" w:cs="Times New Roman"/>
          <w:color w:val="365F91"/>
          <w:sz w:val="24"/>
          <w:szCs w:val="24"/>
        </w:rPr>
      </w:pPr>
    </w:p>
    <w:p w:rsidR="00A14DD4" w:rsidRDefault="00A14DD4" w:rsidP="00753320">
      <w:pPr>
        <w:tabs>
          <w:tab w:val="left" w:pos="990"/>
        </w:tabs>
        <w:ind w:left="990" w:hanging="990"/>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sidR="00984472">
        <w:rPr>
          <w:rFonts w:ascii="Times New Roman" w:hAnsi="Times New Roman" w:cs="Times New Roman"/>
          <w:color w:val="365F91"/>
          <w:sz w:val="24"/>
          <w:szCs w:val="24"/>
        </w:rPr>
        <w:t>T</w:t>
      </w:r>
      <w:r w:rsidR="00753320">
        <w:rPr>
          <w:rFonts w:ascii="Times New Roman" w:hAnsi="Times New Roman" w:cs="Times New Roman"/>
          <w:color w:val="365F91"/>
          <w:sz w:val="24"/>
          <w:szCs w:val="24"/>
        </w:rPr>
        <w:t>he TOP established TTCs once per calendar month for TTCs used in the monthly ATC calculations</w:t>
      </w:r>
    </w:p>
    <w:p w:rsidR="00753320" w:rsidRDefault="00753320" w:rsidP="00753320">
      <w:pPr>
        <w:tabs>
          <w:tab w:val="left" w:pos="990"/>
        </w:tabs>
        <w:ind w:left="990" w:hanging="990"/>
        <w:rPr>
          <w:rFonts w:ascii="Times New Roman" w:hAnsi="Times New Roman" w:cs="Times New Roman"/>
          <w:bCs/>
          <w:color w:val="365F91"/>
          <w:sz w:val="24"/>
          <w:szCs w:val="24"/>
        </w:rPr>
      </w:pPr>
    </w:p>
    <w:p w:rsidR="00753320" w:rsidRPr="009E5FBF" w:rsidRDefault="00753320" w:rsidP="00F4702D">
      <w:pPr>
        <w:tabs>
          <w:tab w:val="left" w:pos="990"/>
        </w:tabs>
        <w:ind w:left="990" w:hanging="990"/>
        <w:rPr>
          <w:rFonts w:ascii="Times New Roman" w:hAnsi="Times New Roman" w:cs="Times New Roman"/>
          <w:color w:val="365F91"/>
          <w:sz w:val="24"/>
          <w:szCs w:val="24"/>
          <w:highlight w:val="yellow"/>
        </w:rPr>
      </w:pPr>
      <w:r>
        <w:rPr>
          <w:rFonts w:ascii="Times New Roman" w:hAnsi="Times New Roman" w:cs="Times New Roman"/>
          <w:bCs/>
          <w:color w:val="365F91"/>
          <w:sz w:val="24"/>
          <w:szCs w:val="24"/>
        </w:rPr>
        <w:tab/>
      </w:r>
    </w:p>
    <w:p w:rsidR="00753320" w:rsidRPr="009E5FBF" w:rsidRDefault="00753320" w:rsidP="00753320">
      <w:pPr>
        <w:tabs>
          <w:tab w:val="left" w:pos="990"/>
        </w:tabs>
        <w:ind w:left="990" w:hanging="990"/>
        <w:rPr>
          <w:rFonts w:ascii="Times New Roman" w:hAnsi="Times New Roman" w:cs="Times New Roman"/>
          <w:color w:val="365F91"/>
          <w:sz w:val="24"/>
          <w:szCs w:val="24"/>
          <w:highlight w:val="yellow"/>
        </w:rPr>
      </w:pPr>
    </w:p>
    <w:p w:rsidR="00753320" w:rsidRDefault="00753320" w:rsidP="00753320">
      <w:pPr>
        <w:tabs>
          <w:tab w:val="left" w:pos="1440"/>
        </w:tabs>
        <w:ind w:left="1440" w:hanging="1440"/>
        <w:rPr>
          <w:rFonts w:ascii="Times New Roman" w:hAnsi="Times New Roman" w:cs="Times New Roman"/>
          <w:color w:val="365F91"/>
          <w:sz w:val="24"/>
          <w:szCs w:val="24"/>
        </w:rPr>
      </w:pPr>
      <w:r w:rsidRPr="00986BD2">
        <w:rPr>
          <w:rFonts w:ascii="Times New Roman" w:hAnsi="Times New Roman" w:cs="Times New Roman"/>
          <w:color w:val="365F91"/>
          <w:sz w:val="24"/>
          <w:szCs w:val="24"/>
        </w:rPr>
        <w:tab/>
      </w:r>
      <w:r w:rsidRPr="00986BD2">
        <w:rPr>
          <w:rFonts w:ascii="Times New Roman" w:hAnsi="Times New Roman" w:cs="Times New Roman"/>
          <w:color w:val="365F91"/>
          <w:sz w:val="24"/>
          <w:szCs w:val="24"/>
        </w:rPr>
        <w:tab/>
      </w:r>
      <w:r w:rsidRPr="00986BD2">
        <w:rPr>
          <w:rFonts w:ascii="Times New Roman" w:hAnsi="Times New Roman" w:cs="Times New Roman"/>
          <w:bCs/>
          <w:color w:val="365F91"/>
          <w:sz w:val="24"/>
          <w:szCs w:val="24"/>
        </w:rPr>
        <w:t xml:space="preserve">___ </w:t>
      </w:r>
      <w:r w:rsidRPr="00986BD2">
        <w:rPr>
          <w:rFonts w:ascii="Times New Roman" w:hAnsi="Times New Roman" w:cs="Times New Roman"/>
          <w:color w:val="365F91"/>
          <w:sz w:val="24"/>
          <w:szCs w:val="24"/>
        </w:rPr>
        <w:t>Verify the TOP established TTCs</w:t>
      </w:r>
      <w:r w:rsidR="006C2B2D" w:rsidRPr="00986BD2">
        <w:rPr>
          <w:rFonts w:ascii="Times New Roman" w:hAnsi="Times New Roman" w:cs="Times New Roman"/>
          <w:color w:val="365F91"/>
          <w:sz w:val="24"/>
          <w:szCs w:val="24"/>
        </w:rPr>
        <w:t xml:space="preserve"> within 24 hours</w:t>
      </w:r>
      <w:r w:rsidRPr="00986BD2">
        <w:rPr>
          <w:rFonts w:ascii="Times New Roman" w:hAnsi="Times New Roman" w:cs="Times New Roman"/>
          <w:color w:val="365F91"/>
          <w:sz w:val="24"/>
          <w:szCs w:val="24"/>
        </w:rPr>
        <w:t xml:space="preserve"> to be in effect during the anticipated duration of the outage</w:t>
      </w:r>
      <w:r w:rsidR="00F4702D" w:rsidRPr="00986BD2">
        <w:rPr>
          <w:rFonts w:ascii="Times New Roman" w:hAnsi="Times New Roman" w:cs="Times New Roman"/>
          <w:color w:val="365F91"/>
          <w:sz w:val="24"/>
          <w:szCs w:val="24"/>
        </w:rPr>
        <w:t xml:space="preserve"> if the answer to the applicability question for R5.3 was </w:t>
      </w:r>
      <w:r w:rsidR="009F603C" w:rsidRPr="00986BD2">
        <w:rPr>
          <w:rFonts w:ascii="Times New Roman" w:hAnsi="Times New Roman" w:cs="Times New Roman"/>
          <w:color w:val="365F91"/>
          <w:sz w:val="24"/>
          <w:szCs w:val="24"/>
        </w:rPr>
        <w:t>Y</w:t>
      </w:r>
      <w:r w:rsidR="00F4702D" w:rsidRPr="00986BD2">
        <w:rPr>
          <w:rFonts w:ascii="Times New Roman" w:hAnsi="Times New Roman" w:cs="Times New Roman"/>
          <w:color w:val="365F91"/>
          <w:sz w:val="24"/>
          <w:szCs w:val="24"/>
        </w:rPr>
        <w:t>es</w:t>
      </w:r>
      <w:r w:rsidR="006C2B2D" w:rsidRPr="00986BD2">
        <w:rPr>
          <w:rFonts w:ascii="Times New Roman" w:hAnsi="Times New Roman" w:cs="Times New Roman"/>
          <w:color w:val="365F91"/>
          <w:sz w:val="24"/>
          <w:szCs w:val="24"/>
        </w:rPr>
        <w:t>.</w:t>
      </w:r>
    </w:p>
    <w:p w:rsidR="00A14DD4" w:rsidRPr="005E50A4" w:rsidRDefault="00A14DD4"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753320" w:rsidRDefault="00753320" w:rsidP="00A52681">
      <w:pPr>
        <w:widowControl w:val="0"/>
        <w:tabs>
          <w:tab w:val="left" w:pos="60"/>
        </w:tabs>
        <w:spacing w:line="200" w:lineRule="exact"/>
        <w:rPr>
          <w:rFonts w:ascii="Times New Roman" w:hAnsi="Times New Roman" w:cs="Times New Roman"/>
          <w:b/>
          <w:sz w:val="24"/>
          <w:szCs w:val="24"/>
        </w:rPr>
      </w:pPr>
    </w:p>
    <w:p w:rsidR="00E24E44" w:rsidRDefault="00E24E44" w:rsidP="00E24E44">
      <w:pPr>
        <w:pStyle w:val="Requirement"/>
        <w:tabs>
          <w:tab w:val="clear" w:pos="720"/>
          <w:tab w:val="num" w:pos="936"/>
          <w:tab w:val="left" w:pos="2592"/>
        </w:tabs>
        <w:ind w:left="936" w:hanging="576"/>
        <w:rPr>
          <w:i/>
        </w:rPr>
      </w:pPr>
      <w:r w:rsidRPr="009C6ABA">
        <w:t xml:space="preserve">Each Transmission Operator shall </w:t>
      </w:r>
      <w:r>
        <w:t>establish</w:t>
      </w:r>
      <w:r w:rsidRPr="009C6ABA">
        <w:t xml:space="preserve"> TTC for each </w:t>
      </w:r>
      <w:r>
        <w:t>ATC</w:t>
      </w:r>
      <w:r w:rsidRPr="009C6ABA">
        <w:t xml:space="preserve"> Path </w:t>
      </w:r>
      <w:r>
        <w:t>using</w:t>
      </w:r>
      <w:r w:rsidRPr="00623CA0">
        <w:t xml:space="preserve"> the following process: </w:t>
      </w:r>
      <w:r w:rsidRPr="00623CA0">
        <w:rPr>
          <w:i/>
        </w:rPr>
        <w:t xml:space="preserve">[Violation Risk Factor: </w:t>
      </w:r>
      <w:r>
        <w:rPr>
          <w:i/>
        </w:rPr>
        <w:t>Lower</w:t>
      </w:r>
      <w:r w:rsidRPr="00623CA0">
        <w:rPr>
          <w:i/>
        </w:rPr>
        <w:t>] [Time Horizon: Operations Planning]</w:t>
      </w:r>
    </w:p>
    <w:p w:rsidR="00E24E44" w:rsidRDefault="00E24E44" w:rsidP="00E24E44">
      <w:pPr>
        <w:pStyle w:val="Requirement"/>
        <w:numPr>
          <w:ilvl w:val="1"/>
          <w:numId w:val="5"/>
        </w:numPr>
        <w:tabs>
          <w:tab w:val="left" w:pos="2592"/>
        </w:tabs>
        <w:ind w:left="1728"/>
      </w:pPr>
      <w:r w:rsidRPr="00BB7F17">
        <w:t xml:space="preserve">Determine the incremental Transfer Capability for each </w:t>
      </w:r>
      <w:r>
        <w:t>ATC</w:t>
      </w:r>
      <w:r w:rsidRPr="00BB7F17">
        <w:t xml:space="preserve"> Path by increasing generation and/or decreasing load within the source Balancing Authority area and decreasing generation and/or increasing load within the sink Balancing Authority area until either:</w:t>
      </w:r>
    </w:p>
    <w:p w:rsidR="00E24E44" w:rsidRDefault="00E24E44" w:rsidP="00E24E44">
      <w:pPr>
        <w:pStyle w:val="BodyIndent1"/>
        <w:numPr>
          <w:ilvl w:val="0"/>
          <w:numId w:val="22"/>
        </w:numPr>
        <w:tabs>
          <w:tab w:val="clear" w:pos="2376"/>
          <w:tab w:val="num" w:pos="2160"/>
        </w:tabs>
        <w:spacing w:before="120"/>
        <w:ind w:left="2160"/>
      </w:pPr>
      <w:r>
        <w:t>A System Operating Limit is reached on the Transmission Service Provider’s system, or</w:t>
      </w:r>
    </w:p>
    <w:p w:rsidR="00E24E44" w:rsidRDefault="00E24E44" w:rsidP="00E24E44">
      <w:pPr>
        <w:pStyle w:val="BodyIndent1"/>
        <w:numPr>
          <w:ilvl w:val="0"/>
          <w:numId w:val="23"/>
        </w:numPr>
        <w:tabs>
          <w:tab w:val="clear" w:pos="2376"/>
          <w:tab w:val="num" w:pos="2160"/>
        </w:tabs>
        <w:spacing w:before="120"/>
        <w:ind w:left="2160"/>
      </w:pPr>
      <w:r>
        <w:t xml:space="preserve">A SOL is reached on any other adjacent system in the Transmission model that is </w:t>
      </w:r>
      <w:r w:rsidRPr="00A441A3">
        <w:t>not on the study path</w:t>
      </w:r>
      <w:r w:rsidRPr="00897FAB">
        <w:t xml:space="preserve"> and the distribution factor is </w:t>
      </w:r>
      <w:r>
        <w:t>5% or greater</w:t>
      </w:r>
      <w:r>
        <w:rPr>
          <w:rStyle w:val="FootnoteReference"/>
        </w:rPr>
        <w:footnoteReference w:id="1"/>
      </w:r>
      <w:r>
        <w:t xml:space="preserve">.  </w:t>
      </w:r>
    </w:p>
    <w:p w:rsidR="00E24E44" w:rsidRDefault="00E24E44" w:rsidP="00E24E44">
      <w:pPr>
        <w:pStyle w:val="Requirement"/>
        <w:numPr>
          <w:ilvl w:val="1"/>
          <w:numId w:val="5"/>
        </w:numPr>
        <w:tabs>
          <w:tab w:val="left" w:pos="2592"/>
        </w:tabs>
        <w:ind w:left="1728"/>
      </w:pPr>
      <w:r>
        <w:t>If the limit in step R6.1</w:t>
      </w:r>
      <w:r w:rsidRPr="00BB7F17">
        <w:t xml:space="preserve"> </w:t>
      </w:r>
      <w:r w:rsidR="003B60C5" w:rsidRPr="00BB7F17">
        <w:t>cannot</w:t>
      </w:r>
      <w:r w:rsidRPr="00BB7F17">
        <w:t xml:space="preserve"> be reached by adjusting any combination of load or generation, then set the incremental Transfer Capability by the results of the case where the maximum adjustments were applied. </w:t>
      </w:r>
    </w:p>
    <w:p w:rsidR="00E24E44" w:rsidRDefault="00E24E44" w:rsidP="00E24E44">
      <w:pPr>
        <w:pStyle w:val="Requirement"/>
        <w:numPr>
          <w:ilvl w:val="1"/>
          <w:numId w:val="5"/>
        </w:numPr>
        <w:tabs>
          <w:tab w:val="left" w:pos="2592"/>
        </w:tabs>
        <w:ind w:left="1728"/>
      </w:pPr>
      <w:r w:rsidRPr="005566C8">
        <w:t>Use (as the TTC) the lesser of:</w:t>
      </w:r>
    </w:p>
    <w:p w:rsidR="00E24E44" w:rsidRDefault="00E24E44" w:rsidP="00E24E44">
      <w:pPr>
        <w:pStyle w:val="Requirement"/>
        <w:numPr>
          <w:ilvl w:val="0"/>
          <w:numId w:val="24"/>
        </w:numPr>
        <w:tabs>
          <w:tab w:val="clear" w:pos="720"/>
          <w:tab w:val="num" w:pos="2340"/>
          <w:tab w:val="left" w:pos="2592"/>
        </w:tabs>
        <w:ind w:left="2340" w:hanging="540"/>
      </w:pPr>
      <w:r>
        <w:t>The sum of the incremental Transfer Capability and the impacts of Firm Transmission Services, as specified in the Transmission Service Provider’s ATCID, that were included in the study model, or</w:t>
      </w:r>
    </w:p>
    <w:p w:rsidR="00E24E44" w:rsidRDefault="00E24E44" w:rsidP="00E24E44">
      <w:pPr>
        <w:pStyle w:val="Requirement"/>
        <w:numPr>
          <w:ilvl w:val="0"/>
          <w:numId w:val="24"/>
        </w:numPr>
        <w:tabs>
          <w:tab w:val="clear" w:pos="720"/>
          <w:tab w:val="num" w:pos="2340"/>
          <w:tab w:val="left" w:pos="2592"/>
        </w:tabs>
        <w:ind w:left="2340" w:hanging="540"/>
      </w:pPr>
      <w:r>
        <w:t>The sum of Facility Ratings of all ties comprising the ATC Path.</w:t>
      </w:r>
    </w:p>
    <w:p w:rsidR="00E24E44" w:rsidRDefault="00E24E44" w:rsidP="00E24E44">
      <w:pPr>
        <w:pStyle w:val="Requirement"/>
        <w:numPr>
          <w:ilvl w:val="1"/>
          <w:numId w:val="5"/>
        </w:numPr>
        <w:tabs>
          <w:tab w:val="left" w:pos="2592"/>
        </w:tabs>
        <w:ind w:left="1728"/>
      </w:pPr>
      <w:r w:rsidRPr="005566C8">
        <w:t xml:space="preserve">For </w:t>
      </w:r>
      <w:r>
        <w:t>ATC</w:t>
      </w:r>
      <w:r w:rsidRPr="005566C8">
        <w:t xml:space="preserve"> Paths whose capacity uses jointly-owned or allocated Facilities, limit TTC for each Transmission </w:t>
      </w:r>
      <w:r>
        <w:t>Service Provider</w:t>
      </w:r>
      <w:r w:rsidRPr="005566C8">
        <w:t xml:space="preserve"> so the TTC does not </w:t>
      </w:r>
      <w:r w:rsidRPr="003D6094">
        <w:t>exceed each</w:t>
      </w:r>
      <w:r>
        <w:t xml:space="preserve"> Transmission Service Provider’s</w:t>
      </w:r>
      <w:r w:rsidRPr="005566C8">
        <w:t xml:space="preserve"> contractual rights.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7E2DFA" w:rsidRDefault="007E2DFA" w:rsidP="003231ED">
      <w:pPr>
        <w:widowControl w:val="0"/>
        <w:tabs>
          <w:tab w:val="left" w:pos="900"/>
          <w:tab w:val="left" w:pos="6360"/>
        </w:tabs>
        <w:spacing w:line="294" w:lineRule="exact"/>
        <w:ind w:left="720"/>
        <w:rPr>
          <w:rFonts w:ascii="Times New Roman" w:hAnsi="Times New Roman" w:cs="Times New Roman"/>
          <w:b/>
          <w:i/>
          <w:iCs/>
          <w:color w:val="C00000"/>
          <w:sz w:val="24"/>
          <w:szCs w:val="24"/>
        </w:rPr>
      </w:pPr>
      <w:r w:rsidRPr="003231ED">
        <w:rPr>
          <w:rFonts w:ascii="Times New Roman" w:hAnsi="Times New Roman" w:cs="Times New Roman"/>
          <w:b/>
          <w:bCs/>
          <w:sz w:val="24"/>
          <w:szCs w:val="24"/>
        </w:rPr>
        <w:t>Question:</w:t>
      </w:r>
      <w:r w:rsidRPr="00A74C27">
        <w:rPr>
          <w:rFonts w:ascii="Times New Roman" w:hAnsi="Times New Roman" w:cs="Times New Roman"/>
          <w:b/>
          <w:bCs/>
          <w:sz w:val="24"/>
          <w:szCs w:val="24"/>
        </w:rPr>
        <w:t xml:space="preserve"> </w:t>
      </w:r>
      <w:r w:rsidR="008366C5">
        <w:rPr>
          <w:rFonts w:ascii="Times New Roman" w:hAnsi="Times New Roman" w:cs="Times New Roman"/>
          <w:b/>
          <w:bCs/>
          <w:sz w:val="24"/>
          <w:szCs w:val="24"/>
        </w:rPr>
        <w:t xml:space="preserve">R6.4 </w:t>
      </w:r>
      <w:r w:rsidRPr="007E2DFA">
        <w:rPr>
          <w:rFonts w:ascii="Times New Roman" w:hAnsi="Times New Roman" w:cs="Times New Roman"/>
          <w:bCs/>
          <w:sz w:val="24"/>
          <w:szCs w:val="24"/>
        </w:rPr>
        <w:t>Do</w:t>
      </w:r>
      <w:r>
        <w:rPr>
          <w:rFonts w:ascii="Times New Roman" w:hAnsi="Times New Roman" w:cs="Times New Roman"/>
          <w:bCs/>
          <w:sz w:val="24"/>
          <w:szCs w:val="24"/>
        </w:rPr>
        <w:t xml:space="preserve"> any</w:t>
      </w:r>
      <w:r w:rsidRPr="007E2DFA">
        <w:rPr>
          <w:rFonts w:ascii="Times New Roman" w:hAnsi="Times New Roman" w:cs="Times New Roman"/>
          <w:bCs/>
          <w:sz w:val="24"/>
          <w:szCs w:val="24"/>
        </w:rPr>
        <w:t xml:space="preserve"> ATC </w:t>
      </w:r>
      <w:r>
        <w:rPr>
          <w:rFonts w:ascii="Times New Roman" w:hAnsi="Times New Roman" w:cs="Times New Roman"/>
          <w:bCs/>
          <w:sz w:val="24"/>
          <w:szCs w:val="24"/>
        </w:rPr>
        <w:t>P</w:t>
      </w:r>
      <w:r w:rsidRPr="007E2DFA">
        <w:rPr>
          <w:rFonts w:ascii="Times New Roman" w:hAnsi="Times New Roman" w:cs="Times New Roman"/>
          <w:bCs/>
          <w:sz w:val="24"/>
          <w:szCs w:val="24"/>
        </w:rPr>
        <w:t>ath</w:t>
      </w:r>
      <w:r>
        <w:rPr>
          <w:rFonts w:ascii="Times New Roman" w:hAnsi="Times New Roman" w:cs="Times New Roman"/>
          <w:bCs/>
          <w:sz w:val="24"/>
          <w:szCs w:val="24"/>
        </w:rPr>
        <w:t>s</w:t>
      </w:r>
      <w:r w:rsidRPr="007E2DFA">
        <w:rPr>
          <w:rFonts w:ascii="Times New Roman" w:hAnsi="Times New Roman" w:cs="Times New Roman"/>
          <w:bCs/>
          <w:sz w:val="24"/>
          <w:szCs w:val="24"/>
        </w:rPr>
        <w:t xml:space="preserve"> use jointly-owned or allocated facilities?</w:t>
      </w:r>
      <w:r>
        <w:rPr>
          <w:rFonts w:ascii="Times New Roman" w:hAnsi="Times New Roman" w:cs="Times New Roman"/>
          <w:bCs/>
          <w:sz w:val="24"/>
          <w:szCs w:val="24"/>
        </w:rPr>
        <w:t xml:space="preserve"> If </w:t>
      </w:r>
      <w:r w:rsidR="00986BD2">
        <w:rPr>
          <w:rFonts w:ascii="Times New Roman" w:hAnsi="Times New Roman" w:cs="Times New Roman"/>
          <w:bCs/>
          <w:sz w:val="24"/>
          <w:szCs w:val="24"/>
        </w:rPr>
        <w:t>Yes</w:t>
      </w:r>
      <w:r>
        <w:rPr>
          <w:rFonts w:ascii="Times New Roman" w:hAnsi="Times New Roman" w:cs="Times New Roman"/>
          <w:bCs/>
          <w:sz w:val="24"/>
          <w:szCs w:val="24"/>
        </w:rPr>
        <w:t>, identify the ATC Paths.</w:t>
      </w:r>
    </w:p>
    <w:p w:rsidR="007E2DFA" w:rsidRPr="009C039C" w:rsidRDefault="007E2DFA" w:rsidP="007E2DFA">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7E2DFA" w:rsidRPr="001F467C" w:rsidRDefault="007E2DFA" w:rsidP="007E2DFA">
      <w:pPr>
        <w:widowControl w:val="0"/>
        <w:tabs>
          <w:tab w:val="left" w:pos="720"/>
        </w:tabs>
        <w:spacing w:line="186" w:lineRule="exact"/>
        <w:ind w:left="720"/>
        <w:rPr>
          <w:rFonts w:ascii="Times New Roman" w:hAnsi="Times New Roman" w:cs="Times New Roman"/>
          <w:sz w:val="24"/>
          <w:szCs w:val="24"/>
        </w:rPr>
      </w:pPr>
    </w:p>
    <w:p w:rsidR="007E2DFA" w:rsidRPr="001F467C" w:rsidRDefault="007E2DFA" w:rsidP="007E2D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7E2DFA" w:rsidRPr="001F467C" w:rsidRDefault="007E2DFA" w:rsidP="007E2DF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E2DFA" w:rsidRPr="001F467C" w:rsidRDefault="007E2DFA" w:rsidP="007E2DFA">
      <w:pPr>
        <w:widowControl w:val="0"/>
        <w:spacing w:line="40" w:lineRule="exact"/>
        <w:rPr>
          <w:rFonts w:ascii="Times New Roman" w:hAnsi="Times New Roman" w:cs="Times New Roman"/>
          <w:sz w:val="24"/>
          <w:szCs w:val="24"/>
        </w:rPr>
      </w:pPr>
    </w:p>
    <w:p w:rsidR="007E2DFA" w:rsidRDefault="007E2DFA"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R6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F9526C">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E24E44">
        <w:rPr>
          <w:rFonts w:ascii="Times New Roman" w:hAnsi="Times New Roman" w:cs="Times New Roman"/>
          <w:b/>
          <w:bCs/>
          <w:color w:val="003366"/>
          <w:sz w:val="24"/>
          <w:szCs w:val="24"/>
        </w:rPr>
        <w:t>6</w:t>
      </w:r>
    </w:p>
    <w:p w:rsidR="00A52681" w:rsidRPr="005E50A4" w:rsidRDefault="00A52681" w:rsidP="00A52681">
      <w:pPr>
        <w:rPr>
          <w:rFonts w:ascii="Times New Roman" w:hAnsi="Times New Roman" w:cs="Times New Roman"/>
          <w:color w:val="365F91"/>
          <w:sz w:val="24"/>
          <w:szCs w:val="24"/>
        </w:rPr>
      </w:pPr>
    </w:p>
    <w:p w:rsidR="00F9526C" w:rsidRPr="005E50A4" w:rsidRDefault="00F9526C" w:rsidP="00F9526C">
      <w:pPr>
        <w:ind w:left="360"/>
        <w:rPr>
          <w:rFonts w:ascii="Times New Roman" w:hAnsi="Times New Roman" w:cs="Times New Roman"/>
          <w:color w:val="365F91"/>
          <w:sz w:val="24"/>
          <w:szCs w:val="24"/>
        </w:rPr>
      </w:pPr>
    </w:p>
    <w:p w:rsidR="00A52681" w:rsidRDefault="00F9526C" w:rsidP="00F9526C">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w:t>
      </w:r>
      <w:r w:rsidR="00D82909">
        <w:rPr>
          <w:rFonts w:ascii="Times New Roman" w:hAnsi="Times New Roman" w:cs="Times New Roman"/>
          <w:color w:val="365F91"/>
          <w:sz w:val="24"/>
          <w:szCs w:val="24"/>
        </w:rPr>
        <w:t>the TOP used the following process to establish TTC for each ATC</w:t>
      </w:r>
      <w:r w:rsidR="00CB4C26">
        <w:rPr>
          <w:rFonts w:ascii="Times New Roman" w:hAnsi="Times New Roman" w:cs="Times New Roman"/>
          <w:color w:val="365F91"/>
          <w:sz w:val="24"/>
          <w:szCs w:val="24"/>
        </w:rPr>
        <w:t xml:space="preserve"> Path</w:t>
      </w:r>
      <w:r w:rsidR="00D82909">
        <w:rPr>
          <w:rFonts w:ascii="Times New Roman" w:hAnsi="Times New Roman" w:cs="Times New Roman"/>
          <w:color w:val="365F91"/>
          <w:sz w:val="24"/>
          <w:szCs w:val="24"/>
        </w:rPr>
        <w:t>:</w:t>
      </w:r>
    </w:p>
    <w:p w:rsidR="00F9526C" w:rsidRDefault="00F9526C" w:rsidP="00F9526C">
      <w:pPr>
        <w:widowControl w:val="0"/>
        <w:tabs>
          <w:tab w:val="left" w:pos="60"/>
        </w:tabs>
        <w:spacing w:line="294" w:lineRule="exact"/>
        <w:rPr>
          <w:rFonts w:ascii="Times New Roman" w:hAnsi="Times New Roman" w:cs="Times New Roman"/>
          <w:color w:val="365F91"/>
          <w:sz w:val="24"/>
          <w:szCs w:val="24"/>
        </w:rPr>
      </w:pPr>
    </w:p>
    <w:p w:rsidR="00F9526C" w:rsidRPr="005E50A4" w:rsidRDefault="00F9526C" w:rsidP="00F9526C">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CB4C26">
        <w:rPr>
          <w:rFonts w:ascii="Times New Roman" w:hAnsi="Times New Roman" w:cs="Times New Roman"/>
          <w:color w:val="365F91"/>
          <w:sz w:val="24"/>
          <w:szCs w:val="24"/>
        </w:rPr>
        <w:t>The</w:t>
      </w:r>
      <w:r>
        <w:rPr>
          <w:rFonts w:ascii="Times New Roman" w:hAnsi="Times New Roman" w:cs="Times New Roman"/>
          <w:color w:val="365F91"/>
          <w:sz w:val="24"/>
          <w:szCs w:val="24"/>
        </w:rPr>
        <w:t xml:space="preserve"> TOP </w:t>
      </w:r>
      <w:r w:rsidR="00D82909">
        <w:rPr>
          <w:rFonts w:ascii="Times New Roman" w:hAnsi="Times New Roman" w:cs="Times New Roman"/>
          <w:color w:val="365F91"/>
          <w:sz w:val="24"/>
          <w:szCs w:val="24"/>
        </w:rPr>
        <w:t>determined the incremental Tr</w:t>
      </w:r>
      <w:r w:rsidR="00CB4C26">
        <w:rPr>
          <w:rFonts w:ascii="Times New Roman" w:hAnsi="Times New Roman" w:cs="Times New Roman"/>
          <w:color w:val="365F91"/>
          <w:sz w:val="24"/>
          <w:szCs w:val="24"/>
        </w:rPr>
        <w:t>ansfer Capability for each ATC P</w:t>
      </w:r>
      <w:r w:rsidR="00D82909">
        <w:rPr>
          <w:rFonts w:ascii="Times New Roman" w:hAnsi="Times New Roman" w:cs="Times New Roman"/>
          <w:color w:val="365F91"/>
          <w:sz w:val="24"/>
          <w:szCs w:val="24"/>
        </w:rPr>
        <w:t>ath by</w:t>
      </w:r>
      <w:r>
        <w:rPr>
          <w:rFonts w:ascii="Times New Roman" w:hAnsi="Times New Roman" w:cs="Times New Roman"/>
          <w:color w:val="365F91"/>
          <w:sz w:val="24"/>
          <w:szCs w:val="24"/>
        </w:rPr>
        <w:t>:</w:t>
      </w:r>
    </w:p>
    <w:p w:rsidR="00F9526C" w:rsidRPr="005E50A4" w:rsidRDefault="00F9526C" w:rsidP="00F9526C">
      <w:pPr>
        <w:ind w:left="360"/>
        <w:rPr>
          <w:rFonts w:ascii="Times New Roman" w:hAnsi="Times New Roman" w:cs="Times New Roman"/>
          <w:color w:val="365F91"/>
          <w:sz w:val="24"/>
          <w:szCs w:val="24"/>
        </w:rPr>
      </w:pPr>
    </w:p>
    <w:p w:rsidR="00F9526C" w:rsidRDefault="00F9526C" w:rsidP="00F9526C">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sidR="00D82909">
        <w:rPr>
          <w:rFonts w:ascii="Times New Roman" w:hAnsi="Times New Roman" w:cs="Times New Roman"/>
          <w:color w:val="365F91"/>
          <w:sz w:val="24"/>
          <w:szCs w:val="24"/>
        </w:rPr>
        <w:t>Increasing generation</w:t>
      </w:r>
      <w:r w:rsidR="006F5645">
        <w:rPr>
          <w:rFonts w:ascii="Times New Roman" w:hAnsi="Times New Roman" w:cs="Times New Roman"/>
          <w:color w:val="365F91"/>
          <w:sz w:val="24"/>
          <w:szCs w:val="24"/>
        </w:rPr>
        <w:t xml:space="preserve"> </w:t>
      </w:r>
      <w:r w:rsidR="00D82909">
        <w:rPr>
          <w:rFonts w:ascii="Times New Roman" w:hAnsi="Times New Roman" w:cs="Times New Roman"/>
          <w:color w:val="365F91"/>
          <w:sz w:val="24"/>
          <w:szCs w:val="24"/>
        </w:rPr>
        <w:t>and</w:t>
      </w:r>
      <w:r w:rsidR="006F5645">
        <w:rPr>
          <w:rFonts w:ascii="Times New Roman" w:hAnsi="Times New Roman" w:cs="Times New Roman"/>
          <w:color w:val="365F91"/>
          <w:sz w:val="24"/>
          <w:szCs w:val="24"/>
        </w:rPr>
        <w:t>/</w:t>
      </w:r>
      <w:r w:rsidR="00D82909">
        <w:rPr>
          <w:rFonts w:ascii="Times New Roman" w:hAnsi="Times New Roman" w:cs="Times New Roman"/>
          <w:color w:val="365F91"/>
          <w:sz w:val="24"/>
          <w:szCs w:val="24"/>
        </w:rPr>
        <w:t xml:space="preserve">or decreasing load within the source BA </w:t>
      </w:r>
    </w:p>
    <w:p w:rsidR="00D82909" w:rsidRDefault="00D82909" w:rsidP="00F9526C">
      <w:pPr>
        <w:ind w:left="990" w:hanging="990"/>
        <w:rPr>
          <w:rFonts w:ascii="Times New Roman" w:hAnsi="Times New Roman" w:cs="Times New Roman"/>
          <w:color w:val="365F91"/>
          <w:sz w:val="24"/>
          <w:szCs w:val="24"/>
        </w:rPr>
      </w:pPr>
    </w:p>
    <w:p w:rsidR="00D82909" w:rsidRDefault="00D82909" w:rsidP="00D82909">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Decreasing generation</w:t>
      </w:r>
      <w:r w:rsidR="006F5645">
        <w:rPr>
          <w:rFonts w:ascii="Times New Roman" w:hAnsi="Times New Roman" w:cs="Times New Roman"/>
          <w:color w:val="365F91"/>
          <w:sz w:val="24"/>
          <w:szCs w:val="24"/>
        </w:rPr>
        <w:t xml:space="preserve"> and/</w:t>
      </w:r>
      <w:r>
        <w:rPr>
          <w:rFonts w:ascii="Times New Roman" w:hAnsi="Times New Roman" w:cs="Times New Roman"/>
          <w:color w:val="365F91"/>
          <w:sz w:val="24"/>
          <w:szCs w:val="24"/>
        </w:rPr>
        <w:t xml:space="preserve">or increasing load within the </w:t>
      </w:r>
      <w:r w:rsidR="00CB4C26">
        <w:rPr>
          <w:rFonts w:ascii="Times New Roman" w:hAnsi="Times New Roman" w:cs="Times New Roman"/>
          <w:color w:val="365F91"/>
          <w:sz w:val="24"/>
          <w:szCs w:val="24"/>
        </w:rPr>
        <w:t>sink</w:t>
      </w:r>
      <w:r>
        <w:rPr>
          <w:rFonts w:ascii="Times New Roman" w:hAnsi="Times New Roman" w:cs="Times New Roman"/>
          <w:color w:val="365F91"/>
          <w:sz w:val="24"/>
          <w:szCs w:val="24"/>
        </w:rPr>
        <w:t xml:space="preserve"> BA </w:t>
      </w:r>
    </w:p>
    <w:p w:rsidR="00D82909" w:rsidRDefault="00D82909" w:rsidP="00D82909">
      <w:pPr>
        <w:ind w:left="990" w:hanging="990"/>
        <w:rPr>
          <w:rFonts w:ascii="Times New Roman" w:hAnsi="Times New Roman" w:cs="Times New Roman"/>
          <w:color w:val="365F91"/>
          <w:sz w:val="24"/>
          <w:szCs w:val="24"/>
        </w:rPr>
      </w:pPr>
    </w:p>
    <w:p w:rsidR="00D82909" w:rsidRDefault="00D82909" w:rsidP="00D82909">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t>Until:</w:t>
      </w:r>
    </w:p>
    <w:p w:rsidR="00D82909" w:rsidRDefault="00D82909" w:rsidP="00D82909">
      <w:pPr>
        <w:ind w:left="990" w:hanging="990"/>
        <w:rPr>
          <w:rFonts w:ascii="Times New Roman" w:hAnsi="Times New Roman" w:cs="Times New Roman"/>
          <w:color w:val="365F91"/>
          <w:sz w:val="24"/>
          <w:szCs w:val="24"/>
        </w:rPr>
      </w:pPr>
    </w:p>
    <w:p w:rsidR="00D82909" w:rsidRDefault="00D82909" w:rsidP="00D82909">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A SOL is reached on the TSP</w:t>
      </w:r>
      <w:r w:rsidR="00CB4C26">
        <w:rPr>
          <w:rFonts w:ascii="Times New Roman" w:hAnsi="Times New Roman" w:cs="Times New Roman"/>
          <w:color w:val="365F91"/>
          <w:sz w:val="24"/>
          <w:szCs w:val="24"/>
        </w:rPr>
        <w:t>’</w:t>
      </w:r>
      <w:r>
        <w:rPr>
          <w:rFonts w:ascii="Times New Roman" w:hAnsi="Times New Roman" w:cs="Times New Roman"/>
          <w:color w:val="365F91"/>
          <w:sz w:val="24"/>
          <w:szCs w:val="24"/>
        </w:rPr>
        <w:t xml:space="preserve">s system </w:t>
      </w:r>
    </w:p>
    <w:p w:rsidR="00D82909" w:rsidRDefault="00D82909" w:rsidP="00D82909">
      <w:pPr>
        <w:ind w:left="990" w:hanging="990"/>
        <w:rPr>
          <w:rFonts w:ascii="Times New Roman" w:hAnsi="Times New Roman" w:cs="Times New Roman"/>
          <w:color w:val="365F91"/>
          <w:sz w:val="24"/>
          <w:szCs w:val="24"/>
        </w:rPr>
      </w:pPr>
    </w:p>
    <w:p w:rsidR="00CB4C26" w:rsidRDefault="00D82909" w:rsidP="00D82909">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Pr>
          <w:rFonts w:ascii="Times New Roman" w:hAnsi="Times New Roman" w:cs="Times New Roman"/>
          <w:color w:val="365F91"/>
          <w:sz w:val="24"/>
          <w:szCs w:val="24"/>
        </w:rPr>
        <w:tab/>
      </w:r>
      <w:r w:rsidR="00CB4C26">
        <w:rPr>
          <w:rFonts w:ascii="Times New Roman" w:hAnsi="Times New Roman" w:cs="Times New Roman"/>
          <w:color w:val="365F91"/>
          <w:sz w:val="24"/>
          <w:szCs w:val="24"/>
        </w:rPr>
        <w:t>(or)</w:t>
      </w:r>
    </w:p>
    <w:p w:rsidR="00D82909" w:rsidRDefault="00D82909" w:rsidP="00D82909">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Pr>
          <w:rFonts w:ascii="Times New Roman" w:hAnsi="Times New Roman" w:cs="Times New Roman"/>
          <w:color w:val="365F91"/>
          <w:sz w:val="24"/>
          <w:szCs w:val="24"/>
        </w:rPr>
        <w:tab/>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A SOL is reached on any other adjacent system in the Transmission model that is not on the study path and the distribution factor is 5% or greater.</w:t>
      </w:r>
    </w:p>
    <w:p w:rsidR="001B56E7" w:rsidRDefault="001B56E7" w:rsidP="00D82909">
      <w:pPr>
        <w:ind w:left="1440" w:hanging="1440"/>
        <w:rPr>
          <w:rFonts w:ascii="Times New Roman" w:hAnsi="Times New Roman" w:cs="Times New Roman"/>
          <w:color w:val="365F91"/>
          <w:sz w:val="24"/>
          <w:szCs w:val="24"/>
        </w:rPr>
      </w:pPr>
    </w:p>
    <w:p w:rsidR="001B56E7" w:rsidRPr="005E50A4" w:rsidRDefault="001B56E7" w:rsidP="001B56E7">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If the TOP could not reach the limits in 6.1, verify the TOP set the incremental Transfer Capability to the results of the case where the maximum adjustments were applied.</w:t>
      </w:r>
    </w:p>
    <w:p w:rsidR="001B56E7" w:rsidRDefault="001B56E7" w:rsidP="00D82909">
      <w:pPr>
        <w:ind w:left="1440" w:hanging="1440"/>
        <w:rPr>
          <w:rFonts w:ascii="Times New Roman" w:hAnsi="Times New Roman" w:cs="Times New Roman"/>
          <w:color w:val="365F91"/>
          <w:sz w:val="24"/>
          <w:szCs w:val="24"/>
        </w:rPr>
      </w:pPr>
    </w:p>
    <w:p w:rsidR="001B56E7" w:rsidRDefault="001B56E7" w:rsidP="001B56E7">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7E2DFA">
        <w:rPr>
          <w:rFonts w:ascii="Times New Roman" w:hAnsi="Times New Roman" w:cs="Times New Roman"/>
          <w:color w:val="365F91"/>
          <w:sz w:val="24"/>
          <w:szCs w:val="24"/>
        </w:rPr>
        <w:t>The</w:t>
      </w:r>
      <w:r>
        <w:rPr>
          <w:rFonts w:ascii="Times New Roman" w:hAnsi="Times New Roman" w:cs="Times New Roman"/>
          <w:color w:val="365F91"/>
          <w:sz w:val="24"/>
          <w:szCs w:val="24"/>
        </w:rPr>
        <w:t xml:space="preserve"> TOP</w:t>
      </w:r>
      <w:r w:rsidR="004C38F5">
        <w:rPr>
          <w:rFonts w:ascii="Times New Roman" w:hAnsi="Times New Roman" w:cs="Times New Roman"/>
          <w:color w:val="365F91"/>
          <w:sz w:val="24"/>
          <w:szCs w:val="24"/>
        </w:rPr>
        <w:t xml:space="preserve"> used </w:t>
      </w:r>
      <w:r w:rsidR="007E2DFA">
        <w:rPr>
          <w:rFonts w:ascii="Times New Roman" w:hAnsi="Times New Roman" w:cs="Times New Roman"/>
          <w:color w:val="365F91"/>
          <w:sz w:val="24"/>
          <w:szCs w:val="24"/>
        </w:rPr>
        <w:t xml:space="preserve">(as the TTC) </w:t>
      </w:r>
      <w:r w:rsidR="004C38F5">
        <w:rPr>
          <w:rFonts w:ascii="Times New Roman" w:hAnsi="Times New Roman" w:cs="Times New Roman"/>
          <w:color w:val="365F91"/>
          <w:sz w:val="24"/>
          <w:szCs w:val="24"/>
        </w:rPr>
        <w:t>the lesser</w:t>
      </w:r>
      <w:r w:rsidR="007E2DFA">
        <w:rPr>
          <w:rFonts w:ascii="Times New Roman" w:hAnsi="Times New Roman" w:cs="Times New Roman"/>
          <w:color w:val="365F91"/>
          <w:sz w:val="24"/>
          <w:szCs w:val="24"/>
        </w:rPr>
        <w:t xml:space="preserve"> of</w:t>
      </w:r>
      <w:r w:rsidR="004C38F5">
        <w:rPr>
          <w:rFonts w:ascii="Times New Roman" w:hAnsi="Times New Roman" w:cs="Times New Roman"/>
          <w:color w:val="365F91"/>
          <w:sz w:val="24"/>
          <w:szCs w:val="24"/>
        </w:rPr>
        <w:t>:</w:t>
      </w:r>
    </w:p>
    <w:p w:rsidR="004C38F5" w:rsidRDefault="004C38F5" w:rsidP="001B56E7">
      <w:pPr>
        <w:tabs>
          <w:tab w:val="left" w:pos="540"/>
          <w:tab w:val="left" w:pos="720"/>
        </w:tabs>
        <w:ind w:left="990" w:hanging="630"/>
        <w:rPr>
          <w:rFonts w:ascii="Times New Roman" w:hAnsi="Times New Roman" w:cs="Times New Roman"/>
          <w:color w:val="365F91"/>
          <w:sz w:val="24"/>
          <w:szCs w:val="24"/>
        </w:rPr>
      </w:pPr>
    </w:p>
    <w:p w:rsidR="004C38F5" w:rsidRPr="005E50A4" w:rsidRDefault="004C38F5" w:rsidP="001B56E7">
      <w:pPr>
        <w:tabs>
          <w:tab w:val="left" w:pos="540"/>
          <w:tab w:val="left" w:pos="720"/>
        </w:tabs>
        <w:ind w:left="990" w:hanging="63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The sum of the incremental Transfer Capability and the impacts of Firm Transmission Services, as specified in the TSPs ATCID, that were included in the study model </w:t>
      </w:r>
    </w:p>
    <w:p w:rsidR="001B56E7" w:rsidRDefault="001B56E7" w:rsidP="00D82909">
      <w:pPr>
        <w:ind w:left="1440" w:hanging="1440"/>
        <w:rPr>
          <w:rFonts w:ascii="Times New Roman" w:hAnsi="Times New Roman" w:cs="Times New Roman"/>
          <w:color w:val="365F91"/>
          <w:sz w:val="24"/>
          <w:szCs w:val="24"/>
        </w:rPr>
      </w:pPr>
    </w:p>
    <w:p w:rsidR="004C38F5" w:rsidRDefault="004C38F5" w:rsidP="00D82909">
      <w:pPr>
        <w:ind w:left="1440" w:hanging="1440"/>
        <w:rPr>
          <w:rFonts w:ascii="Times New Roman" w:hAnsi="Times New Roman" w:cs="Times New Roman"/>
          <w:color w:val="365F91"/>
          <w:sz w:val="24"/>
          <w:szCs w:val="24"/>
        </w:rPr>
      </w:pPr>
      <w:r>
        <w:rPr>
          <w:rFonts w:ascii="Times New Roman" w:hAnsi="Times New Roman" w:cs="Times New Roman"/>
          <w:color w:val="365F91"/>
          <w:sz w:val="24"/>
          <w:szCs w:val="24"/>
        </w:rPr>
        <w:tab/>
        <w:t>(or)</w:t>
      </w:r>
    </w:p>
    <w:p w:rsidR="004C38F5" w:rsidRPr="005E50A4" w:rsidRDefault="004C38F5" w:rsidP="004C38F5">
      <w:pPr>
        <w:tabs>
          <w:tab w:val="left" w:pos="540"/>
          <w:tab w:val="left" w:pos="720"/>
        </w:tabs>
        <w:ind w:left="990" w:hanging="630"/>
        <w:rPr>
          <w:rFonts w:ascii="Times New Roman" w:hAnsi="Times New Roman" w:cs="Times New Roman"/>
          <w:color w:val="365F91"/>
          <w:sz w:val="24"/>
          <w:szCs w:val="24"/>
        </w:rPr>
      </w:pP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The sum of Facility Ratings of all ties comprising the ATC Path.</w:t>
      </w:r>
    </w:p>
    <w:p w:rsidR="001B56E7" w:rsidRDefault="001B56E7" w:rsidP="00D82909">
      <w:pPr>
        <w:ind w:left="1440" w:hanging="1440"/>
        <w:rPr>
          <w:rFonts w:ascii="Times New Roman" w:hAnsi="Times New Roman" w:cs="Times New Roman"/>
          <w:color w:val="365F91"/>
          <w:sz w:val="24"/>
          <w:szCs w:val="24"/>
        </w:rPr>
      </w:pPr>
    </w:p>
    <w:p w:rsidR="007E2DFA" w:rsidRPr="005E50A4" w:rsidRDefault="007E2DFA" w:rsidP="002E6260">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986BD2">
        <w:rPr>
          <w:rFonts w:ascii="Times New Roman" w:hAnsi="Times New Roman" w:cs="Times New Roman"/>
          <w:bCs/>
          <w:color w:val="365F91"/>
          <w:sz w:val="24"/>
          <w:szCs w:val="24"/>
        </w:rPr>
        <w:t xml:space="preserve">___ </w:t>
      </w:r>
      <w:r w:rsidR="002E6260" w:rsidRPr="00986BD2">
        <w:rPr>
          <w:rFonts w:ascii="Times New Roman" w:hAnsi="Times New Roman" w:cs="Times New Roman"/>
          <w:bCs/>
          <w:color w:val="365F91"/>
          <w:sz w:val="24"/>
          <w:szCs w:val="24"/>
        </w:rPr>
        <w:t xml:space="preserve">If the answer to the applicability question for R6.4 is </w:t>
      </w:r>
      <w:r w:rsidR="009F603C" w:rsidRPr="00986BD2">
        <w:rPr>
          <w:rFonts w:ascii="Times New Roman" w:hAnsi="Times New Roman" w:cs="Times New Roman"/>
          <w:bCs/>
          <w:color w:val="365F91"/>
          <w:sz w:val="24"/>
          <w:szCs w:val="24"/>
        </w:rPr>
        <w:t>Y</w:t>
      </w:r>
      <w:r w:rsidR="002E6260" w:rsidRPr="00986BD2">
        <w:rPr>
          <w:rFonts w:ascii="Times New Roman" w:hAnsi="Times New Roman" w:cs="Times New Roman"/>
          <w:bCs/>
          <w:color w:val="365F91"/>
          <w:sz w:val="24"/>
          <w:szCs w:val="24"/>
        </w:rPr>
        <w:t>es, verify the</w:t>
      </w:r>
      <w:r w:rsidRPr="00986BD2">
        <w:rPr>
          <w:rFonts w:ascii="Times New Roman" w:hAnsi="Times New Roman" w:cs="Times New Roman"/>
          <w:color w:val="365F91"/>
          <w:sz w:val="24"/>
          <w:szCs w:val="24"/>
        </w:rPr>
        <w:t xml:space="preserve"> TTC limited for each TSP does not exceed each TSP’s contractual rights</w:t>
      </w:r>
      <w:r>
        <w:rPr>
          <w:rFonts w:ascii="Times New Roman" w:hAnsi="Times New Roman" w:cs="Times New Roman"/>
          <w:color w:val="365F91"/>
          <w:sz w:val="24"/>
          <w:szCs w:val="24"/>
        </w:rPr>
        <w:t xml:space="preserve"> </w:t>
      </w:r>
    </w:p>
    <w:p w:rsidR="00F9526C" w:rsidRDefault="00F9526C"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231ED" w:rsidRDefault="003231ED" w:rsidP="00A52681">
      <w:pPr>
        <w:widowControl w:val="0"/>
        <w:tabs>
          <w:tab w:val="left" w:pos="60"/>
        </w:tabs>
        <w:spacing w:line="200" w:lineRule="exact"/>
        <w:rPr>
          <w:rFonts w:ascii="Times New Roman" w:hAnsi="Times New Roman" w:cs="Times New Roman"/>
          <w:b/>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Pr="00E24E44" w:rsidRDefault="00E24E44" w:rsidP="00E24E44">
      <w:pPr>
        <w:pStyle w:val="ListParagraph"/>
        <w:numPr>
          <w:ilvl w:val="0"/>
          <w:numId w:val="25"/>
        </w:numPr>
        <w:tabs>
          <w:tab w:val="left" w:pos="2592"/>
          <w:tab w:val="left" w:pos="3240"/>
        </w:tabs>
        <w:autoSpaceDE/>
        <w:autoSpaceDN/>
        <w:adjustRightInd/>
        <w:spacing w:after="120"/>
        <w:rPr>
          <w:rFonts w:ascii="Times New Roman" w:hAnsi="Times New Roman" w:cs="Times New Roman"/>
          <w:b/>
          <w:vanish/>
          <w:sz w:val="24"/>
          <w:szCs w:val="24"/>
        </w:rPr>
      </w:pPr>
    </w:p>
    <w:p w:rsidR="00E24E44" w:rsidRDefault="00E24E44" w:rsidP="00E24E44">
      <w:pPr>
        <w:pStyle w:val="Requirement"/>
        <w:numPr>
          <w:ilvl w:val="0"/>
          <w:numId w:val="25"/>
        </w:numPr>
        <w:tabs>
          <w:tab w:val="left" w:pos="2592"/>
        </w:tabs>
      </w:pPr>
      <w:r w:rsidRPr="006553E8">
        <w:t xml:space="preserve">The Transmission Operator shall provide the Transmission Service Provider of that </w:t>
      </w:r>
      <w:r>
        <w:t>ATC</w:t>
      </w:r>
      <w:r w:rsidRPr="006553E8">
        <w:t xml:space="preserve"> Path with the most current value for TTC for that </w:t>
      </w:r>
      <w:r>
        <w:t>ATC</w:t>
      </w:r>
      <w:r w:rsidRPr="006553E8">
        <w:t xml:space="preserve"> Path</w:t>
      </w:r>
      <w:r>
        <w:t xml:space="preserve"> no more than: </w:t>
      </w:r>
      <w:r w:rsidRPr="00E24E44">
        <w:rPr>
          <w:i/>
        </w:rPr>
        <w:t>[Violation Risk Factor: Lower] [Time Horizon: Operations Planning]</w:t>
      </w:r>
      <w:r>
        <w:rPr>
          <w:i/>
        </w:rPr>
        <w:br/>
      </w:r>
    </w:p>
    <w:p w:rsidR="00E24E44" w:rsidRDefault="00E24E44" w:rsidP="00E24E44">
      <w:pPr>
        <w:pStyle w:val="Requirement"/>
        <w:numPr>
          <w:ilvl w:val="1"/>
          <w:numId w:val="5"/>
        </w:numPr>
        <w:tabs>
          <w:tab w:val="left" w:pos="2592"/>
        </w:tabs>
        <w:ind w:left="1728"/>
      </w:pPr>
      <w:r>
        <w:t>One</w:t>
      </w:r>
      <w:r w:rsidRPr="00D95760">
        <w:t xml:space="preserve"> calendar day </w:t>
      </w:r>
      <w:r>
        <w:t>after</w:t>
      </w:r>
      <w:r w:rsidRPr="00D95760">
        <w:t xml:space="preserve"> its determination for TTCs used in hourly and daily ATC calculations</w:t>
      </w:r>
      <w:r>
        <w:t>.</w:t>
      </w:r>
      <w:r w:rsidRPr="00D95760">
        <w:t xml:space="preserve"> </w:t>
      </w:r>
    </w:p>
    <w:p w:rsidR="00E24E44" w:rsidRPr="006553E8" w:rsidRDefault="00E24E44" w:rsidP="00E24E44">
      <w:pPr>
        <w:pStyle w:val="Requirement"/>
        <w:numPr>
          <w:ilvl w:val="1"/>
          <w:numId w:val="5"/>
        </w:numPr>
        <w:tabs>
          <w:tab w:val="left" w:pos="2592"/>
        </w:tabs>
        <w:ind w:left="1728"/>
      </w:pPr>
      <w:r>
        <w:t>S</w:t>
      </w:r>
      <w:r w:rsidRPr="00D95760">
        <w:t>even calendar day</w:t>
      </w:r>
      <w:r>
        <w:t>s</w:t>
      </w:r>
      <w:r w:rsidRPr="00D95760">
        <w:t xml:space="preserve"> </w:t>
      </w:r>
      <w:r>
        <w:t>after</w:t>
      </w:r>
      <w:r w:rsidRPr="00D95760">
        <w:t xml:space="preserve"> its determination for TTCs used in monthly ATC calculations.</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R7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4C38F5">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E24E44">
        <w:rPr>
          <w:rFonts w:ascii="Times New Roman" w:hAnsi="Times New Roman" w:cs="Times New Roman"/>
          <w:b/>
          <w:bCs/>
          <w:color w:val="003366"/>
          <w:sz w:val="24"/>
          <w:szCs w:val="24"/>
        </w:rPr>
        <w:t>7</w:t>
      </w:r>
    </w:p>
    <w:p w:rsidR="004C38F5" w:rsidRPr="005E50A4" w:rsidRDefault="004C38F5" w:rsidP="004C38F5">
      <w:pPr>
        <w:ind w:left="360"/>
        <w:rPr>
          <w:rFonts w:ascii="Times New Roman" w:hAnsi="Times New Roman" w:cs="Times New Roman"/>
          <w:color w:val="365F91"/>
          <w:sz w:val="24"/>
          <w:szCs w:val="24"/>
        </w:rPr>
      </w:pPr>
    </w:p>
    <w:p w:rsidR="004C38F5" w:rsidRDefault="004C38F5" w:rsidP="004C38F5">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the TOP provided the TSP the most current value for TTC for that ATC </w:t>
      </w:r>
      <w:r w:rsidR="001F7340">
        <w:rPr>
          <w:rFonts w:ascii="Times New Roman" w:hAnsi="Times New Roman" w:cs="Times New Roman"/>
          <w:color w:val="365F91"/>
          <w:sz w:val="24"/>
          <w:szCs w:val="24"/>
        </w:rPr>
        <w:t>P</w:t>
      </w:r>
      <w:r>
        <w:rPr>
          <w:rFonts w:ascii="Times New Roman" w:hAnsi="Times New Roman" w:cs="Times New Roman"/>
          <w:color w:val="365F91"/>
          <w:sz w:val="24"/>
          <w:szCs w:val="24"/>
        </w:rPr>
        <w:t>ath no more than:</w:t>
      </w:r>
    </w:p>
    <w:p w:rsidR="004C38F5" w:rsidRDefault="004C38F5" w:rsidP="004C38F5">
      <w:pPr>
        <w:widowControl w:val="0"/>
        <w:tabs>
          <w:tab w:val="left" w:pos="60"/>
        </w:tabs>
        <w:spacing w:line="294" w:lineRule="exact"/>
        <w:rPr>
          <w:rFonts w:ascii="Times New Roman" w:hAnsi="Times New Roman" w:cs="Times New Roman"/>
          <w:color w:val="365F91"/>
          <w:sz w:val="24"/>
          <w:szCs w:val="24"/>
        </w:rPr>
      </w:pPr>
    </w:p>
    <w:p w:rsidR="004C38F5" w:rsidRPr="005E50A4" w:rsidRDefault="004C38F5" w:rsidP="004C38F5">
      <w:pPr>
        <w:tabs>
          <w:tab w:val="left" w:pos="540"/>
          <w:tab w:val="left" w:pos="720"/>
        </w:tabs>
        <w:ind w:left="990" w:hanging="6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w:t>
      </w: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One calendar day after its determination for TTCs used in hourly and daily ATC calculations</w:t>
      </w:r>
      <w:r w:rsidR="009F603C">
        <w:rPr>
          <w:rFonts w:ascii="Times New Roman" w:hAnsi="Times New Roman" w:cs="Times New Roman"/>
          <w:color w:val="365F91"/>
          <w:sz w:val="24"/>
          <w:szCs w:val="24"/>
        </w:rPr>
        <w:t>.</w:t>
      </w:r>
    </w:p>
    <w:p w:rsidR="004C38F5" w:rsidRPr="005E50A4" w:rsidRDefault="004C38F5" w:rsidP="004C38F5">
      <w:pPr>
        <w:ind w:left="360"/>
        <w:rPr>
          <w:rFonts w:ascii="Times New Roman" w:hAnsi="Times New Roman" w:cs="Times New Roman"/>
          <w:color w:val="365F91"/>
          <w:sz w:val="24"/>
          <w:szCs w:val="24"/>
        </w:rPr>
      </w:pPr>
    </w:p>
    <w:p w:rsidR="004C38F5" w:rsidRDefault="004C38F5" w:rsidP="004C38F5">
      <w:pPr>
        <w:ind w:left="990" w:hanging="990"/>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 ___ </w:t>
      </w:r>
      <w:r>
        <w:rPr>
          <w:rFonts w:ascii="Times New Roman" w:hAnsi="Times New Roman" w:cs="Times New Roman"/>
          <w:color w:val="365F91"/>
          <w:sz w:val="24"/>
          <w:szCs w:val="24"/>
        </w:rPr>
        <w:t>Seven calendar days after its determination for TTCs used in monthly ATC calculations.</w:t>
      </w:r>
    </w:p>
    <w:p w:rsidR="004C38F5" w:rsidRPr="005E50A4" w:rsidRDefault="004C38F5"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231ED" w:rsidRDefault="003231ED" w:rsidP="00A52681">
      <w:pPr>
        <w:widowControl w:val="0"/>
        <w:tabs>
          <w:tab w:val="left" w:pos="60"/>
        </w:tabs>
        <w:spacing w:line="200" w:lineRule="exact"/>
        <w:rPr>
          <w:rFonts w:ascii="Times New Roman" w:hAnsi="Times New Roman" w:cs="Times New Roman"/>
          <w:b/>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6"/>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Requirement"/>
        <w:numPr>
          <w:ilvl w:val="0"/>
          <w:numId w:val="26"/>
        </w:numPr>
        <w:tabs>
          <w:tab w:val="left" w:pos="2592"/>
        </w:tabs>
        <w:rPr>
          <w:i/>
        </w:rPr>
      </w:pPr>
      <w:r w:rsidRPr="006553E8">
        <w:t>When calculating Existing Transmission Commitments (ETCs) for firm commitments</w:t>
      </w:r>
      <w:r w:rsidRPr="00623CA0">
        <w:t xml:space="preserve"> (ETC</w:t>
      </w:r>
      <w:r w:rsidRPr="00E24E44">
        <w:rPr>
          <w:vertAlign w:val="subscript"/>
        </w:rPr>
        <w:t>F</w:t>
      </w:r>
      <w:r w:rsidRPr="00623CA0">
        <w:t xml:space="preserve">) for all time </w:t>
      </w:r>
      <w:r>
        <w:t>periods</w:t>
      </w:r>
      <w:r w:rsidRPr="00623CA0">
        <w:t xml:space="preserve"> for a</w:t>
      </w:r>
      <w:r>
        <w:t>n</w:t>
      </w:r>
      <w:r w:rsidRPr="00623CA0">
        <w:t xml:space="preserve"> </w:t>
      </w:r>
      <w:r>
        <w:t>ATC</w:t>
      </w:r>
      <w:r w:rsidRPr="00623CA0">
        <w:t xml:space="preserve"> Path the Transmission Service Provider shall use the following </w:t>
      </w:r>
      <w:r>
        <w:t>algorithm</w:t>
      </w:r>
      <w:r w:rsidRPr="00623CA0">
        <w:t xml:space="preserve">: </w:t>
      </w:r>
      <w:r w:rsidRPr="00E24E44">
        <w:rPr>
          <w:i/>
        </w:rPr>
        <w:t>[Violation Risk Factor: Lower] [Time Horizon: Operations Planning]</w:t>
      </w:r>
    </w:p>
    <w:p w:rsidR="00E24E44" w:rsidRDefault="00E24E44" w:rsidP="00E24E44">
      <w:pPr>
        <w:pStyle w:val="Requirement"/>
        <w:numPr>
          <w:ilvl w:val="0"/>
          <w:numId w:val="0"/>
        </w:numPr>
        <w:ind w:left="2160"/>
      </w:pPr>
      <w:r>
        <w:t>ETC</w:t>
      </w:r>
      <w:r w:rsidRPr="002826F9">
        <w:rPr>
          <w:vertAlign w:val="subscript"/>
        </w:rPr>
        <w:t>F</w:t>
      </w:r>
      <w:r>
        <w:t xml:space="preserve"> = NITS</w:t>
      </w:r>
      <w:r>
        <w:rPr>
          <w:vertAlign w:val="subscript"/>
        </w:rPr>
        <w:t>F</w:t>
      </w:r>
      <w:r>
        <w:t xml:space="preserve"> + GF</w:t>
      </w:r>
      <w:r>
        <w:rPr>
          <w:vertAlign w:val="subscript"/>
        </w:rPr>
        <w:t>F</w:t>
      </w:r>
      <w:r>
        <w:t xml:space="preserve"> + PTP</w:t>
      </w:r>
      <w:r>
        <w:rPr>
          <w:vertAlign w:val="subscript"/>
        </w:rPr>
        <w:t>F</w:t>
      </w:r>
      <w:r>
        <w:t xml:space="preserve"> + ROR</w:t>
      </w:r>
      <w:r>
        <w:rPr>
          <w:vertAlign w:val="subscript"/>
        </w:rPr>
        <w:t>F</w:t>
      </w:r>
      <w:r>
        <w:t xml:space="preserve"> + OS</w:t>
      </w:r>
      <w:r>
        <w:rPr>
          <w:vertAlign w:val="subscript"/>
        </w:rPr>
        <w:t>F</w:t>
      </w:r>
    </w:p>
    <w:p w:rsidR="00E24E44" w:rsidRPr="004C4313" w:rsidRDefault="00E24E44" w:rsidP="00E24E44">
      <w:pPr>
        <w:pStyle w:val="BodyIndent1"/>
        <w:rPr>
          <w:b/>
        </w:rPr>
      </w:pPr>
      <w:r w:rsidRPr="004C4313">
        <w:rPr>
          <w:b/>
        </w:rPr>
        <w:t>Where:</w:t>
      </w:r>
    </w:p>
    <w:p w:rsidR="00E24E44" w:rsidRDefault="00E24E44" w:rsidP="00E24E44">
      <w:pPr>
        <w:pStyle w:val="List2"/>
        <w:ind w:left="1440"/>
        <w:rPr>
          <w:rFonts w:ascii="Times New Roman" w:hAnsi="Times New Roman" w:cs="Times New Roman"/>
        </w:rPr>
      </w:pPr>
      <w:r w:rsidRPr="00231A6F">
        <w:rPr>
          <w:rFonts w:ascii="Times New Roman" w:hAnsi="Times New Roman" w:cs="Times New Roman"/>
          <w:b/>
        </w:rPr>
        <w:t>NITS</w:t>
      </w:r>
      <w:r w:rsidRPr="00231A6F">
        <w:rPr>
          <w:rFonts w:ascii="Times New Roman" w:hAnsi="Times New Roman" w:cs="Times New Roman"/>
          <w:b/>
          <w:vertAlign w:val="subscript"/>
        </w:rPr>
        <w:t>F</w:t>
      </w:r>
      <w:r w:rsidRPr="00231A6F">
        <w:rPr>
          <w:rFonts w:ascii="Times New Roman" w:hAnsi="Times New Roman" w:cs="Times New Roman"/>
        </w:rPr>
        <w:t xml:space="preserve"> is the firm capacity set aside for Network Integration Transmission Service (including the capacity used to serve bundled load within the Transmission Service Provider’s area with external sources) on ATC Paths that serve as interfaces with other Balancing Authorities. </w:t>
      </w:r>
    </w:p>
    <w:p w:rsidR="00231A6F" w:rsidRPr="00231A6F" w:rsidRDefault="00231A6F" w:rsidP="00E24E44">
      <w:pPr>
        <w:pStyle w:val="List2"/>
        <w:ind w:left="1440"/>
        <w:rPr>
          <w:rFonts w:ascii="Times New Roman" w:hAnsi="Times New Roman" w:cs="Times New Roman"/>
        </w:rPr>
      </w:pPr>
    </w:p>
    <w:p w:rsidR="00E24E44" w:rsidRDefault="00E24E44" w:rsidP="00E24E44">
      <w:pPr>
        <w:pStyle w:val="List2"/>
        <w:ind w:left="1440"/>
        <w:rPr>
          <w:rFonts w:ascii="Times New Roman" w:hAnsi="Times New Roman" w:cs="Times New Roman"/>
        </w:rPr>
      </w:pPr>
      <w:r w:rsidRPr="00231A6F">
        <w:rPr>
          <w:rFonts w:ascii="Times New Roman" w:hAnsi="Times New Roman" w:cs="Times New Roman"/>
          <w:b/>
        </w:rPr>
        <w:t>GF</w:t>
      </w:r>
      <w:r w:rsidRPr="00231A6F">
        <w:rPr>
          <w:rFonts w:ascii="Times New Roman" w:hAnsi="Times New Roman" w:cs="Times New Roman"/>
          <w:b/>
          <w:vertAlign w:val="subscript"/>
        </w:rPr>
        <w:t>F</w:t>
      </w:r>
      <w:r w:rsidRPr="00231A6F">
        <w:rPr>
          <w:rFonts w:ascii="Times New Roman" w:hAnsi="Times New Roman" w:cs="Times New Roman"/>
        </w:rPr>
        <w:t xml:space="preserve"> is the firm capacity set aside for Grandfathered Firm Transmission Service and contracts for energy and/or Transmission Service, where executed prior to the effective date of a Transmission Service Provider’s Open Access Transmission Tariff or safe harbor tariff on ATC Paths that serve as interfaces with other Balancing Authorities.</w:t>
      </w:r>
    </w:p>
    <w:p w:rsidR="00231A6F" w:rsidRPr="00231A6F" w:rsidRDefault="00231A6F" w:rsidP="00E24E44">
      <w:pPr>
        <w:pStyle w:val="List2"/>
        <w:ind w:left="1440"/>
        <w:rPr>
          <w:rFonts w:ascii="Times New Roman" w:hAnsi="Times New Roman" w:cs="Times New Roman"/>
        </w:rPr>
      </w:pPr>
    </w:p>
    <w:p w:rsidR="00E24E44" w:rsidRDefault="00E24E44" w:rsidP="00E24E44">
      <w:pPr>
        <w:pStyle w:val="List2"/>
        <w:ind w:left="1440"/>
        <w:rPr>
          <w:rFonts w:ascii="Times New Roman" w:hAnsi="Times New Roman" w:cs="Times New Roman"/>
        </w:rPr>
      </w:pPr>
      <w:r w:rsidRPr="00231A6F">
        <w:rPr>
          <w:rFonts w:ascii="Times New Roman" w:hAnsi="Times New Roman" w:cs="Times New Roman"/>
          <w:b/>
        </w:rPr>
        <w:t>PTP</w:t>
      </w:r>
      <w:r w:rsidRPr="00231A6F">
        <w:rPr>
          <w:rFonts w:ascii="Times New Roman" w:hAnsi="Times New Roman" w:cs="Times New Roman"/>
          <w:b/>
          <w:vertAlign w:val="subscript"/>
        </w:rPr>
        <w:t>F</w:t>
      </w:r>
      <w:r w:rsidRPr="00231A6F">
        <w:rPr>
          <w:rFonts w:ascii="Times New Roman" w:hAnsi="Times New Roman" w:cs="Times New Roman"/>
        </w:rPr>
        <w:t xml:space="preserve"> is the firm capacity reserved for confirmed Point-to-Point Transmission Service.</w:t>
      </w:r>
    </w:p>
    <w:p w:rsidR="00231A6F" w:rsidRPr="00231A6F" w:rsidRDefault="00231A6F" w:rsidP="00E24E44">
      <w:pPr>
        <w:pStyle w:val="List2"/>
        <w:ind w:left="1440"/>
        <w:rPr>
          <w:rFonts w:ascii="Times New Roman" w:hAnsi="Times New Roman" w:cs="Times New Roman"/>
        </w:rPr>
      </w:pPr>
    </w:p>
    <w:p w:rsidR="00E24E44" w:rsidRDefault="00E24E44" w:rsidP="00E24E44">
      <w:pPr>
        <w:pStyle w:val="List2"/>
        <w:ind w:left="1440"/>
        <w:rPr>
          <w:rFonts w:ascii="Times New Roman" w:hAnsi="Times New Roman" w:cs="Times New Roman"/>
        </w:rPr>
      </w:pPr>
      <w:r w:rsidRPr="00231A6F">
        <w:rPr>
          <w:rFonts w:ascii="Times New Roman" w:hAnsi="Times New Roman" w:cs="Times New Roman"/>
          <w:b/>
        </w:rPr>
        <w:t>ROR</w:t>
      </w:r>
      <w:r w:rsidRPr="00231A6F">
        <w:rPr>
          <w:rFonts w:ascii="Times New Roman" w:hAnsi="Times New Roman" w:cs="Times New Roman"/>
          <w:b/>
          <w:vertAlign w:val="subscript"/>
        </w:rPr>
        <w:t>F</w:t>
      </w:r>
      <w:r w:rsidRPr="00231A6F">
        <w:rPr>
          <w:rFonts w:ascii="Times New Roman" w:hAnsi="Times New Roman" w:cs="Times New Roman"/>
        </w:rPr>
        <w:t xml:space="preserve"> is the capacity reserved for roll-over rights for Firm Transmission Service contracts granting Transmission Customers the right of first refusal to take or continue to take Transmission Service when the Transmission Customer’s Transmission Service contract expires or is eligible for renewal.</w:t>
      </w:r>
    </w:p>
    <w:p w:rsidR="00231A6F" w:rsidRPr="00231A6F" w:rsidRDefault="00231A6F" w:rsidP="00E24E44">
      <w:pPr>
        <w:pStyle w:val="List2"/>
        <w:ind w:left="1440"/>
        <w:rPr>
          <w:rFonts w:ascii="Times New Roman" w:hAnsi="Times New Roman" w:cs="Times New Roman"/>
        </w:rPr>
      </w:pPr>
    </w:p>
    <w:p w:rsidR="00E24E44" w:rsidRPr="00231A6F" w:rsidRDefault="00E24E44" w:rsidP="00E24E44">
      <w:pPr>
        <w:pStyle w:val="List2"/>
        <w:ind w:left="1440"/>
        <w:rPr>
          <w:rFonts w:ascii="Times New Roman" w:hAnsi="Times New Roman" w:cs="Times New Roman"/>
        </w:rPr>
      </w:pPr>
      <w:r w:rsidRPr="00231A6F">
        <w:rPr>
          <w:rFonts w:ascii="Times New Roman" w:hAnsi="Times New Roman" w:cs="Times New Roman"/>
          <w:b/>
        </w:rPr>
        <w:t>OS</w:t>
      </w:r>
      <w:r w:rsidRPr="00231A6F">
        <w:rPr>
          <w:rFonts w:ascii="Times New Roman" w:hAnsi="Times New Roman" w:cs="Times New Roman"/>
          <w:b/>
          <w:vertAlign w:val="subscript"/>
        </w:rPr>
        <w:t>F</w:t>
      </w:r>
      <w:r w:rsidRPr="00231A6F">
        <w:rPr>
          <w:rFonts w:ascii="Times New Roman" w:hAnsi="Times New Roman" w:cs="Times New Roman"/>
        </w:rPr>
        <w:t xml:space="preserve"> is the firm capacity reserved for any other service(s), contract(s), or agreement(s) not specified above using Firm Transmission Service, including any other firm adjustments to reflect impacts from other ATC Paths of the Transmission Service Provider as specified in the ATCID.</w:t>
      </w:r>
      <w:r w:rsidRPr="00231A6F" w:rsidDel="002826F9">
        <w:rPr>
          <w:rFonts w:ascii="Times New Roman" w:hAnsi="Times New Roman" w:cs="Times New Roman"/>
        </w:rPr>
        <w:t xml:space="preserve">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86BD2" w:rsidRDefault="00986BD2" w:rsidP="00884825">
      <w:pPr>
        <w:pStyle w:val="Heading1"/>
      </w:pPr>
    </w:p>
    <w:p w:rsidR="00B53833" w:rsidRPr="00003496" w:rsidRDefault="00B53833" w:rsidP="00003496">
      <w:pPr>
        <w:pStyle w:val="Heading1"/>
      </w:pPr>
      <w:r w:rsidRPr="00884825">
        <w:t>R8 Supporting Evidence and Documentation</w:t>
      </w:r>
    </w:p>
    <w:p w:rsidR="00B53833"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B53833" w:rsidRDefault="00B53833" w:rsidP="00B53833">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4C38F5">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D70EFD">
        <w:rPr>
          <w:rFonts w:ascii="Times New Roman" w:hAnsi="Times New Roman" w:cs="Times New Roman"/>
          <w:b/>
          <w:bCs/>
          <w:color w:val="003366"/>
          <w:sz w:val="24"/>
          <w:szCs w:val="24"/>
        </w:rPr>
        <w:t>8</w:t>
      </w:r>
    </w:p>
    <w:p w:rsidR="004C38F5" w:rsidRPr="005E50A4" w:rsidRDefault="004C38F5" w:rsidP="004C38F5">
      <w:pPr>
        <w:ind w:left="360"/>
        <w:rPr>
          <w:rFonts w:ascii="Times New Roman" w:hAnsi="Times New Roman" w:cs="Times New Roman"/>
          <w:color w:val="365F91"/>
          <w:sz w:val="24"/>
          <w:szCs w:val="24"/>
        </w:rPr>
      </w:pPr>
    </w:p>
    <w:p w:rsidR="004C38F5" w:rsidRDefault="004C38F5" w:rsidP="004C38F5">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the TSP </w:t>
      </w:r>
      <w:r w:rsidR="00D70EFD">
        <w:rPr>
          <w:rFonts w:ascii="Times New Roman" w:hAnsi="Times New Roman" w:cs="Times New Roman"/>
          <w:color w:val="365F91"/>
          <w:sz w:val="24"/>
          <w:szCs w:val="24"/>
        </w:rPr>
        <w:t>used the following algorithm when calculating Existing Transmission Commitments</w:t>
      </w:r>
      <w:r w:rsidR="001F7340">
        <w:rPr>
          <w:rFonts w:ascii="Times New Roman" w:hAnsi="Times New Roman" w:cs="Times New Roman"/>
          <w:color w:val="365F91"/>
          <w:sz w:val="24"/>
          <w:szCs w:val="24"/>
        </w:rPr>
        <w:t xml:space="preserve"> for all time periods</w:t>
      </w:r>
      <w:r w:rsidR="00D70EFD">
        <w:rPr>
          <w:rFonts w:ascii="Times New Roman" w:hAnsi="Times New Roman" w:cs="Times New Roman"/>
          <w:color w:val="365F91"/>
          <w:sz w:val="24"/>
          <w:szCs w:val="24"/>
        </w:rPr>
        <w:t>:</w:t>
      </w:r>
    </w:p>
    <w:p w:rsidR="005B7019" w:rsidRDefault="00D70EFD" w:rsidP="00D70EFD">
      <w:pPr>
        <w:pStyle w:val="Requirement"/>
        <w:numPr>
          <w:ilvl w:val="0"/>
          <w:numId w:val="0"/>
        </w:numPr>
        <w:ind w:left="2160"/>
        <w:rPr>
          <w:color w:val="365F91"/>
        </w:rPr>
      </w:pPr>
      <w:r>
        <w:rPr>
          <w:color w:val="365F91"/>
        </w:rPr>
        <w:tab/>
      </w:r>
    </w:p>
    <w:p w:rsidR="00D70EFD" w:rsidRPr="00D70EFD" w:rsidRDefault="00D70EFD" w:rsidP="00D70EFD">
      <w:pPr>
        <w:pStyle w:val="Requirement"/>
        <w:numPr>
          <w:ilvl w:val="0"/>
          <w:numId w:val="0"/>
        </w:numPr>
        <w:ind w:left="2160"/>
        <w:rPr>
          <w:color w:val="365F91"/>
        </w:rPr>
      </w:pPr>
      <w:r w:rsidRPr="00D70EFD">
        <w:rPr>
          <w:color w:val="365F91"/>
        </w:rPr>
        <w:t>ETC</w:t>
      </w:r>
      <w:r w:rsidRPr="00D70EFD">
        <w:rPr>
          <w:color w:val="365F91"/>
          <w:vertAlign w:val="subscript"/>
        </w:rPr>
        <w:t>F</w:t>
      </w:r>
      <w:r w:rsidRPr="00D70EFD">
        <w:rPr>
          <w:color w:val="365F91"/>
        </w:rPr>
        <w:t xml:space="preserve"> = NITS</w:t>
      </w:r>
      <w:r w:rsidRPr="00D70EFD">
        <w:rPr>
          <w:color w:val="365F91"/>
          <w:vertAlign w:val="subscript"/>
        </w:rPr>
        <w:t>F</w:t>
      </w:r>
      <w:r w:rsidRPr="00D70EFD">
        <w:rPr>
          <w:color w:val="365F91"/>
        </w:rPr>
        <w:t xml:space="preserve"> + GF</w:t>
      </w:r>
      <w:r w:rsidRPr="00D70EFD">
        <w:rPr>
          <w:color w:val="365F91"/>
          <w:vertAlign w:val="subscript"/>
        </w:rPr>
        <w:t>F</w:t>
      </w:r>
      <w:r w:rsidRPr="00D70EFD">
        <w:rPr>
          <w:color w:val="365F91"/>
        </w:rPr>
        <w:t xml:space="preserve"> + PTP</w:t>
      </w:r>
      <w:r w:rsidRPr="00D70EFD">
        <w:rPr>
          <w:color w:val="365F91"/>
          <w:vertAlign w:val="subscript"/>
        </w:rPr>
        <w:t>F</w:t>
      </w:r>
      <w:r w:rsidRPr="00D70EFD">
        <w:rPr>
          <w:color w:val="365F91"/>
        </w:rPr>
        <w:t xml:space="preserve"> + ROR</w:t>
      </w:r>
      <w:r w:rsidRPr="00D70EFD">
        <w:rPr>
          <w:color w:val="365F91"/>
          <w:vertAlign w:val="subscript"/>
        </w:rPr>
        <w:t>F</w:t>
      </w:r>
      <w:r w:rsidRPr="00D70EFD">
        <w:rPr>
          <w:color w:val="365F91"/>
        </w:rPr>
        <w:t xml:space="preserve"> + OS</w:t>
      </w:r>
      <w:r w:rsidRPr="00D70EFD">
        <w:rPr>
          <w:color w:val="365F91"/>
          <w:vertAlign w:val="subscript"/>
        </w:rPr>
        <w:t>F</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2A4F3E" w:rsidRDefault="002A4F3E"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3231ED" w:rsidRDefault="003231ED" w:rsidP="00A52681">
      <w:pPr>
        <w:widowControl w:val="0"/>
        <w:tabs>
          <w:tab w:val="left" w:pos="60"/>
        </w:tabs>
        <w:spacing w:line="200" w:lineRule="exact"/>
        <w:rPr>
          <w:rFonts w:ascii="Times New Roman" w:hAnsi="Times New Roman" w:cs="Times New Roman"/>
          <w:b/>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7"/>
        </w:numPr>
        <w:tabs>
          <w:tab w:val="left" w:pos="2592"/>
          <w:tab w:val="left" w:pos="3240"/>
        </w:tabs>
        <w:autoSpaceDE/>
        <w:autoSpaceDN/>
        <w:adjustRightInd/>
        <w:spacing w:after="120"/>
        <w:rPr>
          <w:rFonts w:ascii="Times New Roman" w:hAnsi="Times New Roman" w:cs="Times New Roman"/>
          <w:vanish/>
          <w:sz w:val="24"/>
          <w:szCs w:val="24"/>
        </w:rPr>
      </w:pPr>
    </w:p>
    <w:p w:rsidR="00E24E44" w:rsidRDefault="00E24E44" w:rsidP="00E24E44">
      <w:pPr>
        <w:pStyle w:val="Requirement"/>
        <w:numPr>
          <w:ilvl w:val="0"/>
          <w:numId w:val="27"/>
        </w:numPr>
        <w:tabs>
          <w:tab w:val="left" w:pos="2592"/>
        </w:tabs>
      </w:pPr>
      <w:r w:rsidRPr="004C4313">
        <w:t>When calculating ETC for non-firm commitments (ETC</w:t>
      </w:r>
      <w:r w:rsidRPr="00E24E44">
        <w:rPr>
          <w:vertAlign w:val="subscript"/>
        </w:rPr>
        <w:t>NF</w:t>
      </w:r>
      <w:r w:rsidRPr="004C4313">
        <w:t xml:space="preserve">) for all time </w:t>
      </w:r>
      <w:r>
        <w:t>periods</w:t>
      </w:r>
      <w:r w:rsidRPr="004C4313">
        <w:t xml:space="preserve"> for a</w:t>
      </w:r>
      <w:r>
        <w:t>n</w:t>
      </w:r>
      <w:r w:rsidRPr="004C4313">
        <w:t xml:space="preserve"> </w:t>
      </w:r>
      <w:r>
        <w:t>ATC</w:t>
      </w:r>
      <w:r w:rsidRPr="004C4313">
        <w:t xml:space="preserve"> Path the Transmission Service Provider shall use the following </w:t>
      </w:r>
      <w:r>
        <w:t>algorithm</w:t>
      </w:r>
      <w:r w:rsidRPr="004C4313">
        <w:t>: [Violation Risk Factor: Lower] [Time Horizon: Operations Planning]</w:t>
      </w:r>
    </w:p>
    <w:p w:rsidR="00E24E44" w:rsidRDefault="00E24E44" w:rsidP="00E24E44">
      <w:pPr>
        <w:pStyle w:val="BodyIndent1"/>
        <w:ind w:left="1440"/>
      </w:pPr>
      <w:r>
        <w:t>ETC</w:t>
      </w:r>
      <w:r>
        <w:rPr>
          <w:vertAlign w:val="subscript"/>
        </w:rPr>
        <w:t>NF</w:t>
      </w:r>
      <w:r>
        <w:t xml:space="preserve"> = NITS</w:t>
      </w:r>
      <w:r>
        <w:rPr>
          <w:vertAlign w:val="subscript"/>
        </w:rPr>
        <w:t>NF</w:t>
      </w:r>
      <w:r>
        <w:t xml:space="preserve"> + GF</w:t>
      </w:r>
      <w:r>
        <w:rPr>
          <w:vertAlign w:val="subscript"/>
        </w:rPr>
        <w:t>NF</w:t>
      </w:r>
      <w:r>
        <w:t xml:space="preserve"> + PTP</w:t>
      </w:r>
      <w:r>
        <w:rPr>
          <w:vertAlign w:val="subscript"/>
        </w:rPr>
        <w:t>NF</w:t>
      </w:r>
      <w:r>
        <w:t xml:space="preserve"> + OS</w:t>
      </w:r>
      <w:r>
        <w:rPr>
          <w:vertAlign w:val="subscript"/>
        </w:rPr>
        <w:t>NF</w:t>
      </w:r>
    </w:p>
    <w:p w:rsidR="00E24E44" w:rsidRDefault="00E24E44" w:rsidP="00E24E44">
      <w:pPr>
        <w:pStyle w:val="BodyIndent1"/>
      </w:pPr>
    </w:p>
    <w:p w:rsidR="00E24E44" w:rsidRPr="004C4313" w:rsidRDefault="00E24E44" w:rsidP="00E24E44">
      <w:pPr>
        <w:pStyle w:val="BodyIndent1"/>
        <w:rPr>
          <w:b/>
        </w:rPr>
      </w:pPr>
      <w:r w:rsidRPr="004C4313">
        <w:rPr>
          <w:b/>
        </w:rPr>
        <w:t>Where:</w:t>
      </w:r>
    </w:p>
    <w:p w:rsidR="00E24E44" w:rsidRDefault="00E24E44" w:rsidP="00E24E44">
      <w:pPr>
        <w:pStyle w:val="List2"/>
        <w:ind w:left="1656"/>
        <w:rPr>
          <w:rFonts w:ascii="Times New Roman" w:hAnsi="Times New Roman" w:cs="Times New Roman"/>
          <w:bCs/>
        </w:rPr>
      </w:pPr>
      <w:r w:rsidRPr="00231A6F">
        <w:rPr>
          <w:rFonts w:ascii="Times New Roman" w:hAnsi="Times New Roman" w:cs="Times New Roman"/>
          <w:b/>
          <w:bCs/>
        </w:rPr>
        <w:t>NITS</w:t>
      </w:r>
      <w:r w:rsidRPr="00231A6F">
        <w:rPr>
          <w:rFonts w:ascii="Times New Roman" w:hAnsi="Times New Roman" w:cs="Times New Roman"/>
          <w:b/>
          <w:bCs/>
          <w:vertAlign w:val="subscript"/>
        </w:rPr>
        <w:t>NF</w:t>
      </w:r>
      <w:r w:rsidRPr="00231A6F">
        <w:rPr>
          <w:rFonts w:ascii="Times New Roman" w:hAnsi="Times New Roman" w:cs="Times New Roman"/>
          <w:b/>
          <w:bCs/>
        </w:rPr>
        <w:t xml:space="preserve"> </w:t>
      </w:r>
      <w:r w:rsidRPr="00231A6F">
        <w:rPr>
          <w:rFonts w:ascii="Times New Roman" w:hAnsi="Times New Roman" w:cs="Times New Roman"/>
          <w:bCs/>
        </w:rPr>
        <w:t>is the non-firm capacity set aside for Network Integration Transmission Service (i.e., secondary service , including the capacity used to serve bundled load within the Transmission Service Provider’s area with external sources) reserved on ATC Paths that serve as interfaces with other Balancing Authorities.</w:t>
      </w:r>
    </w:p>
    <w:p w:rsidR="00231A6F" w:rsidRPr="00231A6F" w:rsidRDefault="00231A6F" w:rsidP="00E24E44">
      <w:pPr>
        <w:pStyle w:val="List2"/>
        <w:ind w:left="1656"/>
        <w:rPr>
          <w:rFonts w:ascii="Times New Roman" w:hAnsi="Times New Roman" w:cs="Times New Roman"/>
          <w:b/>
          <w:bCs/>
        </w:rPr>
      </w:pPr>
    </w:p>
    <w:p w:rsidR="00E24E44" w:rsidRDefault="00E24E44" w:rsidP="00E24E44">
      <w:pPr>
        <w:pStyle w:val="List2"/>
        <w:ind w:left="1656"/>
        <w:rPr>
          <w:rFonts w:ascii="Times New Roman" w:hAnsi="Times New Roman" w:cs="Times New Roman"/>
          <w:bCs/>
        </w:rPr>
      </w:pPr>
      <w:r w:rsidRPr="00231A6F">
        <w:rPr>
          <w:rFonts w:ascii="Times New Roman" w:hAnsi="Times New Roman" w:cs="Times New Roman"/>
          <w:b/>
          <w:bCs/>
        </w:rPr>
        <w:t>GF</w:t>
      </w:r>
      <w:r w:rsidRPr="00231A6F">
        <w:rPr>
          <w:rFonts w:ascii="Times New Roman" w:hAnsi="Times New Roman" w:cs="Times New Roman"/>
          <w:b/>
          <w:bCs/>
          <w:vertAlign w:val="subscript"/>
        </w:rPr>
        <w:t>NF</w:t>
      </w:r>
      <w:r w:rsidRPr="00231A6F">
        <w:rPr>
          <w:rFonts w:ascii="Times New Roman" w:hAnsi="Times New Roman" w:cs="Times New Roman"/>
          <w:b/>
          <w:bCs/>
        </w:rPr>
        <w:t xml:space="preserve"> </w:t>
      </w:r>
      <w:r w:rsidRPr="00231A6F">
        <w:rPr>
          <w:rFonts w:ascii="Times New Roman" w:hAnsi="Times New Roman" w:cs="Times New Roman"/>
          <w:bCs/>
        </w:rPr>
        <w:t>is the non-firm capacity reserved for Grandfathered Non-Firm Transmission Service and contracts for energy and/or Transmission Service, where executed prior to the effective date of a Transmission Service Provider’s Open Access Transmission Tariff or safe harbor tariff on ATC Paths that serve as interfaces with other Balancing Authorities.</w:t>
      </w:r>
    </w:p>
    <w:p w:rsidR="00231A6F" w:rsidRPr="00231A6F" w:rsidRDefault="00231A6F" w:rsidP="00E24E44">
      <w:pPr>
        <w:pStyle w:val="List2"/>
        <w:ind w:left="1656"/>
        <w:rPr>
          <w:rFonts w:ascii="Times New Roman" w:hAnsi="Times New Roman" w:cs="Times New Roman"/>
          <w:bCs/>
        </w:rPr>
      </w:pPr>
    </w:p>
    <w:p w:rsidR="00E24E44" w:rsidRDefault="00E24E44" w:rsidP="00E24E44">
      <w:pPr>
        <w:pStyle w:val="List2"/>
        <w:ind w:left="1656"/>
        <w:rPr>
          <w:rFonts w:ascii="Times New Roman" w:hAnsi="Times New Roman" w:cs="Times New Roman"/>
          <w:bCs/>
        </w:rPr>
      </w:pPr>
      <w:r w:rsidRPr="00231A6F">
        <w:rPr>
          <w:rFonts w:ascii="Times New Roman" w:hAnsi="Times New Roman" w:cs="Times New Roman"/>
          <w:b/>
          <w:bCs/>
        </w:rPr>
        <w:t>PTP</w:t>
      </w:r>
      <w:r w:rsidRPr="00231A6F">
        <w:rPr>
          <w:rFonts w:ascii="Times New Roman" w:hAnsi="Times New Roman" w:cs="Times New Roman"/>
          <w:b/>
          <w:bCs/>
          <w:vertAlign w:val="subscript"/>
        </w:rPr>
        <w:t>NF</w:t>
      </w:r>
      <w:r w:rsidRPr="00231A6F">
        <w:rPr>
          <w:rFonts w:ascii="Times New Roman" w:hAnsi="Times New Roman" w:cs="Times New Roman"/>
          <w:b/>
          <w:bCs/>
        </w:rPr>
        <w:t xml:space="preserve"> </w:t>
      </w:r>
      <w:r w:rsidRPr="00231A6F">
        <w:rPr>
          <w:rFonts w:ascii="Times New Roman" w:hAnsi="Times New Roman" w:cs="Times New Roman"/>
          <w:bCs/>
        </w:rPr>
        <w:t>is non-firm capacity reserved for confirmed Point-to-Point Transmission Service.</w:t>
      </w:r>
    </w:p>
    <w:p w:rsidR="00231A6F" w:rsidRPr="00231A6F" w:rsidRDefault="00231A6F" w:rsidP="00E24E44">
      <w:pPr>
        <w:pStyle w:val="List2"/>
        <w:ind w:left="1656"/>
        <w:rPr>
          <w:rFonts w:ascii="Times New Roman" w:hAnsi="Times New Roman" w:cs="Times New Roman"/>
          <w:b/>
          <w:bCs/>
        </w:rPr>
      </w:pPr>
    </w:p>
    <w:p w:rsidR="00E24E44" w:rsidRPr="00231A6F" w:rsidRDefault="00E24E44" w:rsidP="00E24E44">
      <w:pPr>
        <w:pStyle w:val="List2"/>
        <w:ind w:left="1656"/>
        <w:rPr>
          <w:rFonts w:ascii="Times New Roman" w:hAnsi="Times New Roman" w:cs="Times New Roman"/>
          <w:bCs/>
        </w:rPr>
      </w:pPr>
      <w:r w:rsidRPr="00231A6F">
        <w:rPr>
          <w:rFonts w:ascii="Times New Roman" w:hAnsi="Times New Roman" w:cs="Times New Roman"/>
          <w:b/>
          <w:bCs/>
        </w:rPr>
        <w:t>OS</w:t>
      </w:r>
      <w:r w:rsidRPr="00231A6F">
        <w:rPr>
          <w:rFonts w:ascii="Times New Roman" w:hAnsi="Times New Roman" w:cs="Times New Roman"/>
          <w:b/>
          <w:bCs/>
          <w:vertAlign w:val="subscript"/>
        </w:rPr>
        <w:t>NF</w:t>
      </w:r>
      <w:r w:rsidRPr="00231A6F">
        <w:rPr>
          <w:rFonts w:ascii="Times New Roman" w:hAnsi="Times New Roman" w:cs="Times New Roman"/>
          <w:b/>
          <w:bCs/>
        </w:rPr>
        <w:t xml:space="preserve"> </w:t>
      </w:r>
      <w:r w:rsidRPr="00231A6F">
        <w:rPr>
          <w:rFonts w:ascii="Times New Roman" w:hAnsi="Times New Roman" w:cs="Times New Roman"/>
          <w:bCs/>
        </w:rPr>
        <w:t>is the non-firm capacity reserved for any other service(s), contract(s), or agreement(s) not specified above using Non-Firm Transmission Service, including any other firm adjustments to reflect impacts from other ATC Paths of the Transmission Service Provider as specified in the ATCID.</w:t>
      </w:r>
      <w:r w:rsidRPr="00231A6F" w:rsidDel="002826F9">
        <w:rPr>
          <w:rFonts w:ascii="Times New Roman" w:hAnsi="Times New Roman" w:cs="Times New Roman"/>
          <w:bCs/>
        </w:rPr>
        <w:t xml:space="preserve">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R9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D70EFD">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E24E44">
        <w:rPr>
          <w:rFonts w:ascii="Times New Roman" w:hAnsi="Times New Roman" w:cs="Times New Roman"/>
          <w:b/>
          <w:bCs/>
          <w:color w:val="003366"/>
          <w:sz w:val="24"/>
          <w:szCs w:val="24"/>
        </w:rPr>
        <w:t>9</w:t>
      </w:r>
    </w:p>
    <w:p w:rsidR="00A52681" w:rsidRPr="005E50A4" w:rsidRDefault="00A52681" w:rsidP="00A52681">
      <w:pPr>
        <w:rPr>
          <w:rFonts w:ascii="Times New Roman" w:hAnsi="Times New Roman" w:cs="Times New Roman"/>
          <w:color w:val="365F91"/>
          <w:sz w:val="24"/>
          <w:szCs w:val="24"/>
        </w:rPr>
      </w:pPr>
    </w:p>
    <w:p w:rsidR="00D70EFD" w:rsidRDefault="00D70EFD" w:rsidP="00D70EFD">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Verify the TSP used the following algorithm for all time periods when calculating Existing Transmission for non firm Commitments:</w:t>
      </w:r>
    </w:p>
    <w:p w:rsidR="005B7019" w:rsidRDefault="00D70EFD" w:rsidP="00D70EFD">
      <w:pPr>
        <w:pStyle w:val="BodyIndent1"/>
        <w:ind w:left="1440"/>
        <w:rPr>
          <w:color w:val="365F91"/>
        </w:rPr>
      </w:pPr>
      <w:r>
        <w:rPr>
          <w:color w:val="365F91"/>
        </w:rPr>
        <w:tab/>
      </w:r>
    </w:p>
    <w:p w:rsidR="00D70EFD" w:rsidRPr="00D70EFD" w:rsidRDefault="00D70EFD" w:rsidP="00D70EFD">
      <w:pPr>
        <w:pStyle w:val="BodyIndent1"/>
        <w:ind w:left="1440"/>
        <w:rPr>
          <w:color w:val="365F91"/>
        </w:rPr>
      </w:pPr>
      <w:r w:rsidRPr="00D70EFD">
        <w:rPr>
          <w:color w:val="365F91"/>
        </w:rPr>
        <w:t>ETC</w:t>
      </w:r>
      <w:r w:rsidRPr="00D70EFD">
        <w:rPr>
          <w:color w:val="365F91"/>
          <w:vertAlign w:val="subscript"/>
        </w:rPr>
        <w:t>NF</w:t>
      </w:r>
      <w:r w:rsidRPr="00D70EFD">
        <w:rPr>
          <w:color w:val="365F91"/>
        </w:rPr>
        <w:t xml:space="preserve"> = NITS</w:t>
      </w:r>
      <w:r w:rsidRPr="00D70EFD">
        <w:rPr>
          <w:color w:val="365F91"/>
          <w:vertAlign w:val="subscript"/>
        </w:rPr>
        <w:t>NF</w:t>
      </w:r>
      <w:r w:rsidRPr="00D70EFD">
        <w:rPr>
          <w:color w:val="365F91"/>
        </w:rPr>
        <w:t xml:space="preserve"> + GF</w:t>
      </w:r>
      <w:r w:rsidRPr="00D70EFD">
        <w:rPr>
          <w:color w:val="365F91"/>
          <w:vertAlign w:val="subscript"/>
        </w:rPr>
        <w:t>NF</w:t>
      </w:r>
      <w:r w:rsidRPr="00D70EFD">
        <w:rPr>
          <w:color w:val="365F91"/>
        </w:rPr>
        <w:t xml:space="preserve"> + PTP</w:t>
      </w:r>
      <w:r w:rsidRPr="00D70EFD">
        <w:rPr>
          <w:color w:val="365F91"/>
          <w:vertAlign w:val="subscript"/>
        </w:rPr>
        <w:t>NF</w:t>
      </w:r>
      <w:r w:rsidRPr="00D70EFD">
        <w:rPr>
          <w:color w:val="365F91"/>
        </w:rPr>
        <w:t xml:space="preserve"> + OS</w:t>
      </w:r>
      <w:r w:rsidRPr="00D70EFD">
        <w:rPr>
          <w:color w:val="365F91"/>
          <w:vertAlign w:val="subscript"/>
        </w:rPr>
        <w:t>NF</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231ED" w:rsidRDefault="003231ED" w:rsidP="00A52681">
      <w:pPr>
        <w:widowControl w:val="0"/>
        <w:tabs>
          <w:tab w:val="left" w:pos="60"/>
        </w:tabs>
        <w:spacing w:line="200" w:lineRule="exact"/>
        <w:rPr>
          <w:rFonts w:ascii="Times New Roman" w:hAnsi="Times New Roman" w:cs="Times New Roman"/>
          <w:b/>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8"/>
        </w:numPr>
        <w:tabs>
          <w:tab w:val="left" w:pos="2592"/>
          <w:tab w:val="left" w:pos="3240"/>
          <w:tab w:val="left" w:pos="3420"/>
        </w:tabs>
        <w:autoSpaceDE/>
        <w:autoSpaceDN/>
        <w:adjustRightInd/>
        <w:spacing w:after="120"/>
        <w:rPr>
          <w:rFonts w:ascii="Times New Roman" w:hAnsi="Times New Roman" w:cs="Times New Roman"/>
          <w:vanish/>
          <w:sz w:val="24"/>
          <w:szCs w:val="24"/>
        </w:rPr>
      </w:pPr>
    </w:p>
    <w:p w:rsidR="00E24E44" w:rsidRPr="00E24E44" w:rsidRDefault="00E24E44" w:rsidP="00E24E44">
      <w:pPr>
        <w:pStyle w:val="Requirement"/>
        <w:numPr>
          <w:ilvl w:val="0"/>
          <w:numId w:val="28"/>
        </w:numPr>
        <w:tabs>
          <w:tab w:val="left" w:pos="2592"/>
          <w:tab w:val="left" w:pos="3420"/>
        </w:tabs>
        <w:rPr>
          <w:i/>
        </w:rPr>
      </w:pPr>
      <w:r w:rsidRPr="004C4313">
        <w:t xml:space="preserve">When calculating </w:t>
      </w:r>
      <w:r>
        <w:t>f</w:t>
      </w:r>
      <w:r w:rsidRPr="004C4313">
        <w:t>irm ATC for a</w:t>
      </w:r>
      <w:r>
        <w:t>n</w:t>
      </w:r>
      <w:r w:rsidRPr="004C4313">
        <w:t xml:space="preserve"> </w:t>
      </w:r>
      <w:r>
        <w:t>ATC</w:t>
      </w:r>
      <w:r w:rsidRPr="004C4313">
        <w:t xml:space="preserve"> Path for a specified period, the Transmission Service Provider shall utilize the following </w:t>
      </w:r>
      <w:r>
        <w:t>algorithm</w:t>
      </w:r>
      <w:r w:rsidRPr="004C4313">
        <w:t xml:space="preserve">:  </w:t>
      </w:r>
      <w:r w:rsidRPr="00E24E44">
        <w:rPr>
          <w:i/>
        </w:rPr>
        <w:t>[Violation Risk Factor: Lower] [Time Horizon: Operations Planning]</w:t>
      </w:r>
    </w:p>
    <w:p w:rsidR="00E24E44" w:rsidRPr="00231A6F" w:rsidRDefault="00E24E44" w:rsidP="00E24E44">
      <w:pPr>
        <w:pStyle w:val="List2"/>
        <w:ind w:left="1800"/>
        <w:rPr>
          <w:rFonts w:ascii="Times New Roman" w:hAnsi="Times New Roman" w:cs="Times New Roman"/>
          <w:vertAlign w:val="subscript"/>
        </w:rPr>
      </w:pPr>
      <w:r w:rsidRPr="00231A6F">
        <w:rPr>
          <w:rFonts w:ascii="Times New Roman" w:hAnsi="Times New Roman" w:cs="Times New Roman"/>
        </w:rPr>
        <w:t>ATC</w:t>
      </w:r>
      <w:r w:rsidRPr="00231A6F">
        <w:rPr>
          <w:rFonts w:ascii="Times New Roman" w:hAnsi="Times New Roman" w:cs="Times New Roman"/>
          <w:vertAlign w:val="subscript"/>
        </w:rPr>
        <w:t>F</w:t>
      </w:r>
      <w:r w:rsidRPr="00231A6F">
        <w:rPr>
          <w:rFonts w:ascii="Times New Roman" w:hAnsi="Times New Roman" w:cs="Times New Roman"/>
        </w:rPr>
        <w:t xml:space="preserve"> = TTC – ETC</w:t>
      </w:r>
      <w:r w:rsidRPr="00231A6F">
        <w:rPr>
          <w:rFonts w:ascii="Times New Roman" w:hAnsi="Times New Roman" w:cs="Times New Roman"/>
          <w:vertAlign w:val="subscript"/>
        </w:rPr>
        <w:t>F</w:t>
      </w:r>
      <w:r w:rsidRPr="00231A6F">
        <w:rPr>
          <w:rFonts w:ascii="Times New Roman" w:hAnsi="Times New Roman" w:cs="Times New Roman"/>
        </w:rPr>
        <w:t xml:space="preserve"> – CBM – TRM + Postbacks</w:t>
      </w:r>
      <w:r w:rsidRPr="00231A6F">
        <w:rPr>
          <w:rFonts w:ascii="Times New Roman" w:hAnsi="Times New Roman" w:cs="Times New Roman"/>
          <w:vertAlign w:val="subscript"/>
        </w:rPr>
        <w:t>F</w:t>
      </w:r>
      <w:r w:rsidRPr="00231A6F">
        <w:rPr>
          <w:rFonts w:ascii="Times New Roman" w:hAnsi="Times New Roman" w:cs="Times New Roman"/>
        </w:rPr>
        <w:t xml:space="preserve"> + counterflows</w:t>
      </w:r>
      <w:r w:rsidRPr="00231A6F">
        <w:rPr>
          <w:rFonts w:ascii="Times New Roman" w:hAnsi="Times New Roman" w:cs="Times New Roman"/>
          <w:vertAlign w:val="subscript"/>
        </w:rPr>
        <w:t>F</w:t>
      </w:r>
    </w:p>
    <w:p w:rsidR="00E24E44" w:rsidRPr="00231A6F" w:rsidRDefault="00E24E44" w:rsidP="00E24E44">
      <w:pPr>
        <w:pStyle w:val="List2"/>
        <w:ind w:left="1440"/>
        <w:rPr>
          <w:rFonts w:ascii="Times New Roman" w:hAnsi="Times New Roman" w:cs="Times New Roman"/>
          <w:b/>
          <w:bCs/>
        </w:rPr>
      </w:pPr>
      <w:r w:rsidRPr="00231A6F">
        <w:rPr>
          <w:rFonts w:ascii="Times New Roman" w:hAnsi="Times New Roman" w:cs="Times New Roman"/>
          <w:b/>
          <w:bCs/>
        </w:rPr>
        <w:t>Where:</w:t>
      </w: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ATC</w:t>
      </w:r>
      <w:r w:rsidRPr="00231A6F">
        <w:rPr>
          <w:rFonts w:ascii="Times New Roman" w:hAnsi="Times New Roman" w:cs="Times New Roman"/>
          <w:b/>
          <w:vertAlign w:val="subscript"/>
        </w:rPr>
        <w:t>F</w:t>
      </w:r>
      <w:r w:rsidRPr="00231A6F">
        <w:rPr>
          <w:rFonts w:ascii="Times New Roman" w:hAnsi="Times New Roman" w:cs="Times New Roman"/>
          <w:b/>
        </w:rPr>
        <w:t xml:space="preserve"> </w:t>
      </w:r>
      <w:r w:rsidRPr="00231A6F">
        <w:rPr>
          <w:rFonts w:ascii="Times New Roman" w:hAnsi="Times New Roman" w:cs="Times New Roman"/>
        </w:rPr>
        <w:t>is the firm Available Transfer Capability for the ATC Path for that period.</w:t>
      </w:r>
    </w:p>
    <w:p w:rsidR="00231A6F" w:rsidRPr="00231A6F" w:rsidRDefault="00231A6F" w:rsidP="00E24E44">
      <w:pPr>
        <w:pStyle w:val="List2"/>
        <w:ind w:left="1800"/>
        <w:rPr>
          <w:rFonts w:ascii="Times New Roman" w:hAnsi="Times New Roman" w:cs="Times New Roman"/>
        </w:rPr>
      </w:pP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TTC</w:t>
      </w:r>
      <w:r w:rsidRPr="00231A6F">
        <w:rPr>
          <w:rFonts w:ascii="Times New Roman" w:hAnsi="Times New Roman" w:cs="Times New Roman"/>
        </w:rPr>
        <w:t xml:space="preserve"> is the Total Transfer Capability of the ATC Path for that period.</w:t>
      </w:r>
    </w:p>
    <w:p w:rsidR="00231A6F" w:rsidRPr="00231A6F" w:rsidRDefault="00231A6F" w:rsidP="00E24E44">
      <w:pPr>
        <w:pStyle w:val="List2"/>
        <w:ind w:left="1800"/>
        <w:rPr>
          <w:rFonts w:ascii="Times New Roman" w:hAnsi="Times New Roman" w:cs="Times New Roman"/>
        </w:rPr>
      </w:pP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ETC</w:t>
      </w:r>
      <w:r w:rsidRPr="00231A6F">
        <w:rPr>
          <w:rFonts w:ascii="Times New Roman" w:hAnsi="Times New Roman" w:cs="Times New Roman"/>
          <w:b/>
          <w:vertAlign w:val="subscript"/>
        </w:rPr>
        <w:t>F</w:t>
      </w:r>
      <w:r w:rsidRPr="00231A6F">
        <w:rPr>
          <w:rFonts w:ascii="Times New Roman" w:hAnsi="Times New Roman" w:cs="Times New Roman"/>
        </w:rPr>
        <w:t xml:space="preserve"> is the sum of existing firm Transmission commitments for the ATC Path during that period.</w:t>
      </w:r>
    </w:p>
    <w:p w:rsidR="00231A6F" w:rsidRPr="00231A6F" w:rsidRDefault="00231A6F" w:rsidP="00E24E44">
      <w:pPr>
        <w:pStyle w:val="List2"/>
        <w:ind w:left="1800"/>
        <w:rPr>
          <w:rFonts w:ascii="Times New Roman" w:hAnsi="Times New Roman" w:cs="Times New Roman"/>
        </w:rPr>
      </w:pP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CBM</w:t>
      </w:r>
      <w:r w:rsidRPr="00231A6F">
        <w:rPr>
          <w:rFonts w:ascii="Times New Roman" w:hAnsi="Times New Roman" w:cs="Times New Roman"/>
        </w:rPr>
        <w:t xml:space="preserve"> is the Capacity Benefit Margin for the ATC Path during that period.</w:t>
      </w:r>
    </w:p>
    <w:p w:rsidR="00231A6F" w:rsidRPr="00231A6F" w:rsidRDefault="00231A6F" w:rsidP="00E24E44">
      <w:pPr>
        <w:pStyle w:val="List2"/>
        <w:ind w:left="1800"/>
        <w:rPr>
          <w:rFonts w:ascii="Times New Roman" w:hAnsi="Times New Roman" w:cs="Times New Roman"/>
        </w:rPr>
      </w:pP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TRM</w:t>
      </w:r>
      <w:r w:rsidRPr="00231A6F">
        <w:rPr>
          <w:rFonts w:ascii="Times New Roman" w:hAnsi="Times New Roman" w:cs="Times New Roman"/>
        </w:rPr>
        <w:t xml:space="preserve"> is the Transmission Reliability Margin for the ATC Path during that period. </w:t>
      </w:r>
    </w:p>
    <w:p w:rsidR="00231A6F" w:rsidRPr="00231A6F" w:rsidRDefault="00231A6F" w:rsidP="00E24E44">
      <w:pPr>
        <w:pStyle w:val="List2"/>
        <w:ind w:left="1800"/>
        <w:rPr>
          <w:rFonts w:ascii="Times New Roman" w:hAnsi="Times New Roman" w:cs="Times New Roman"/>
        </w:rPr>
      </w:pPr>
    </w:p>
    <w:p w:rsidR="00E24E44" w:rsidRDefault="00E24E44" w:rsidP="00E24E44">
      <w:pPr>
        <w:pStyle w:val="List2"/>
        <w:ind w:left="1800"/>
        <w:rPr>
          <w:rFonts w:ascii="Times New Roman" w:hAnsi="Times New Roman" w:cs="Times New Roman"/>
        </w:rPr>
      </w:pPr>
      <w:r w:rsidRPr="00231A6F">
        <w:rPr>
          <w:rFonts w:ascii="Times New Roman" w:hAnsi="Times New Roman" w:cs="Times New Roman"/>
          <w:b/>
        </w:rPr>
        <w:t>Postbacks</w:t>
      </w:r>
      <w:r w:rsidRPr="00231A6F">
        <w:rPr>
          <w:rFonts w:ascii="Times New Roman" w:hAnsi="Times New Roman" w:cs="Times New Roman"/>
          <w:b/>
          <w:vertAlign w:val="subscript"/>
        </w:rPr>
        <w:t>F</w:t>
      </w:r>
      <w:r w:rsidRPr="00231A6F">
        <w:rPr>
          <w:rFonts w:ascii="Times New Roman" w:hAnsi="Times New Roman" w:cs="Times New Roman"/>
          <w:b/>
          <w:vertAlign w:val="subscript"/>
        </w:rPr>
        <w:softHyphen/>
      </w:r>
      <w:r w:rsidRPr="00231A6F">
        <w:rPr>
          <w:rFonts w:ascii="Times New Roman" w:hAnsi="Times New Roman" w:cs="Times New Roman"/>
        </w:rPr>
        <w:t xml:space="preserve"> are changes to firm ATC due to a change in the use of Transmission Service for that period, as defined in Business Practices.</w:t>
      </w:r>
    </w:p>
    <w:p w:rsidR="00231A6F" w:rsidRPr="00231A6F" w:rsidRDefault="00231A6F" w:rsidP="00E24E44">
      <w:pPr>
        <w:pStyle w:val="List2"/>
        <w:ind w:left="1800"/>
        <w:rPr>
          <w:rFonts w:ascii="Times New Roman" w:hAnsi="Times New Roman" w:cs="Times New Roman"/>
        </w:rPr>
      </w:pPr>
    </w:p>
    <w:p w:rsidR="00E24E44" w:rsidRPr="00231A6F" w:rsidRDefault="00E24E44" w:rsidP="00E24E44">
      <w:pPr>
        <w:pStyle w:val="List2"/>
        <w:ind w:left="1800"/>
        <w:rPr>
          <w:rFonts w:ascii="Times New Roman" w:hAnsi="Times New Roman" w:cs="Times New Roman"/>
        </w:rPr>
      </w:pPr>
      <w:r w:rsidRPr="00231A6F">
        <w:rPr>
          <w:rFonts w:ascii="Times New Roman" w:hAnsi="Times New Roman" w:cs="Times New Roman"/>
          <w:b/>
        </w:rPr>
        <w:t>counterflows</w:t>
      </w:r>
      <w:r w:rsidRPr="00231A6F">
        <w:rPr>
          <w:rFonts w:ascii="Times New Roman" w:hAnsi="Times New Roman" w:cs="Times New Roman"/>
          <w:b/>
          <w:vertAlign w:val="subscript"/>
        </w:rPr>
        <w:t>F</w:t>
      </w:r>
      <w:r w:rsidRPr="00231A6F">
        <w:rPr>
          <w:rFonts w:ascii="Times New Roman" w:hAnsi="Times New Roman" w:cs="Times New Roman"/>
        </w:rPr>
        <w:t xml:space="preserve"> are adjustments to firm ATC as determined by the Transmission Service Provider and specified in the ATCID.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R10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D70EFD">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8E7CBF">
        <w:rPr>
          <w:rFonts w:ascii="Times New Roman" w:hAnsi="Times New Roman" w:cs="Times New Roman"/>
          <w:b/>
          <w:bCs/>
          <w:color w:val="003366"/>
          <w:sz w:val="24"/>
          <w:szCs w:val="24"/>
        </w:rPr>
        <w:t>1</w:t>
      </w:r>
      <w:r w:rsidR="00E24E44">
        <w:rPr>
          <w:rFonts w:ascii="Times New Roman" w:hAnsi="Times New Roman" w:cs="Times New Roman"/>
          <w:b/>
          <w:bCs/>
          <w:color w:val="003366"/>
          <w:sz w:val="24"/>
          <w:szCs w:val="24"/>
        </w:rPr>
        <w:t>0</w:t>
      </w:r>
    </w:p>
    <w:p w:rsidR="00A52681" w:rsidRPr="005E50A4" w:rsidRDefault="00A52681" w:rsidP="00A52681">
      <w:pPr>
        <w:rPr>
          <w:rFonts w:ascii="Times New Roman" w:hAnsi="Times New Roman" w:cs="Times New Roman"/>
          <w:color w:val="365F91"/>
          <w:sz w:val="24"/>
          <w:szCs w:val="24"/>
        </w:rPr>
      </w:pPr>
    </w:p>
    <w:p w:rsidR="00D70EFD" w:rsidRDefault="00D70EFD" w:rsidP="00D70EFD">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the TSP used the following algorithm when calculating </w:t>
      </w:r>
      <w:r w:rsidR="001F7340">
        <w:rPr>
          <w:rFonts w:ascii="Times New Roman" w:hAnsi="Times New Roman" w:cs="Times New Roman"/>
          <w:color w:val="365F91"/>
          <w:sz w:val="24"/>
          <w:szCs w:val="24"/>
        </w:rPr>
        <w:t xml:space="preserve">firm </w:t>
      </w:r>
      <w:r>
        <w:rPr>
          <w:rFonts w:ascii="Times New Roman" w:hAnsi="Times New Roman" w:cs="Times New Roman"/>
          <w:color w:val="365F91"/>
          <w:sz w:val="24"/>
          <w:szCs w:val="24"/>
        </w:rPr>
        <w:t xml:space="preserve">ATC for an ATC </w:t>
      </w:r>
      <w:r w:rsidR="001F7340">
        <w:rPr>
          <w:rFonts w:ascii="Times New Roman" w:hAnsi="Times New Roman" w:cs="Times New Roman"/>
          <w:color w:val="365F91"/>
          <w:sz w:val="24"/>
          <w:szCs w:val="24"/>
        </w:rPr>
        <w:t>P</w:t>
      </w:r>
      <w:r>
        <w:rPr>
          <w:rFonts w:ascii="Times New Roman" w:hAnsi="Times New Roman" w:cs="Times New Roman"/>
          <w:color w:val="365F91"/>
          <w:sz w:val="24"/>
          <w:szCs w:val="24"/>
        </w:rPr>
        <w:t>ath for a specific period:</w:t>
      </w:r>
    </w:p>
    <w:p w:rsidR="005B7019" w:rsidRDefault="005B7019" w:rsidP="005B7019">
      <w:pPr>
        <w:pStyle w:val="List2"/>
        <w:ind w:left="1800"/>
        <w:rPr>
          <w:color w:val="365F91"/>
        </w:rPr>
      </w:pPr>
    </w:p>
    <w:p w:rsidR="005B7019" w:rsidRPr="005B7019" w:rsidRDefault="005B7019" w:rsidP="005B7019">
      <w:pPr>
        <w:pStyle w:val="List2"/>
        <w:ind w:left="1800"/>
        <w:rPr>
          <w:rFonts w:ascii="Times New Roman" w:hAnsi="Times New Roman" w:cs="Times New Roman"/>
          <w:color w:val="365F91"/>
          <w:sz w:val="24"/>
          <w:szCs w:val="24"/>
          <w:vertAlign w:val="subscript"/>
        </w:rPr>
      </w:pPr>
      <w:r w:rsidRPr="005B7019">
        <w:rPr>
          <w:rFonts w:ascii="Times New Roman" w:hAnsi="Times New Roman" w:cs="Times New Roman"/>
          <w:color w:val="365F91"/>
          <w:sz w:val="24"/>
          <w:szCs w:val="24"/>
        </w:rPr>
        <w:t>ATC</w:t>
      </w:r>
      <w:r w:rsidRPr="005B7019">
        <w:rPr>
          <w:rFonts w:ascii="Times New Roman" w:hAnsi="Times New Roman" w:cs="Times New Roman"/>
          <w:color w:val="365F91"/>
          <w:sz w:val="24"/>
          <w:szCs w:val="24"/>
          <w:vertAlign w:val="subscript"/>
        </w:rPr>
        <w:t>F</w:t>
      </w:r>
      <w:r w:rsidRPr="005B7019">
        <w:rPr>
          <w:rFonts w:ascii="Times New Roman" w:hAnsi="Times New Roman" w:cs="Times New Roman"/>
          <w:color w:val="365F91"/>
          <w:sz w:val="24"/>
          <w:szCs w:val="24"/>
        </w:rPr>
        <w:t xml:space="preserve"> = TTC – ETC</w:t>
      </w:r>
      <w:r w:rsidRPr="005B7019">
        <w:rPr>
          <w:rFonts w:ascii="Times New Roman" w:hAnsi="Times New Roman" w:cs="Times New Roman"/>
          <w:color w:val="365F91"/>
          <w:sz w:val="24"/>
          <w:szCs w:val="24"/>
          <w:vertAlign w:val="subscript"/>
        </w:rPr>
        <w:t>F</w:t>
      </w:r>
      <w:r w:rsidRPr="005B7019">
        <w:rPr>
          <w:rFonts w:ascii="Times New Roman" w:hAnsi="Times New Roman" w:cs="Times New Roman"/>
          <w:color w:val="365F91"/>
          <w:sz w:val="24"/>
          <w:szCs w:val="24"/>
        </w:rPr>
        <w:t xml:space="preserve"> – CBM – TRM + Postbacks</w:t>
      </w:r>
      <w:r w:rsidRPr="005B7019">
        <w:rPr>
          <w:rFonts w:ascii="Times New Roman" w:hAnsi="Times New Roman" w:cs="Times New Roman"/>
          <w:color w:val="365F91"/>
          <w:sz w:val="24"/>
          <w:szCs w:val="24"/>
          <w:vertAlign w:val="subscript"/>
        </w:rPr>
        <w:t>F</w:t>
      </w:r>
      <w:r w:rsidRPr="005B7019">
        <w:rPr>
          <w:rFonts w:ascii="Times New Roman" w:hAnsi="Times New Roman" w:cs="Times New Roman"/>
          <w:color w:val="365F91"/>
          <w:sz w:val="24"/>
          <w:szCs w:val="24"/>
        </w:rPr>
        <w:t xml:space="preserve"> + counterflows</w:t>
      </w:r>
      <w:r w:rsidRPr="005B7019">
        <w:rPr>
          <w:rFonts w:ascii="Times New Roman" w:hAnsi="Times New Roman" w:cs="Times New Roman"/>
          <w:color w:val="365F91"/>
          <w:sz w:val="24"/>
          <w:szCs w:val="24"/>
          <w:vertAlign w:val="subscript"/>
        </w:rPr>
        <w:t>F</w:t>
      </w:r>
    </w:p>
    <w:p w:rsidR="00D70EFD" w:rsidRDefault="00D70EFD" w:rsidP="00A52681">
      <w:pPr>
        <w:ind w:left="360"/>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3231ED" w:rsidRDefault="003231ED" w:rsidP="00A52681">
      <w:pPr>
        <w:widowControl w:val="0"/>
        <w:tabs>
          <w:tab w:val="left" w:pos="60"/>
        </w:tabs>
        <w:spacing w:line="200" w:lineRule="exact"/>
        <w:rPr>
          <w:rFonts w:ascii="Times New Roman" w:hAnsi="Times New Roman" w:cs="Times New Roman"/>
          <w:b/>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E24E44" w:rsidP="00E24E44">
      <w:pPr>
        <w:pStyle w:val="ListParagraph"/>
        <w:numPr>
          <w:ilvl w:val="0"/>
          <w:numId w:val="29"/>
        </w:numPr>
        <w:tabs>
          <w:tab w:val="left" w:pos="2592"/>
          <w:tab w:val="left" w:pos="3240"/>
        </w:tabs>
        <w:autoSpaceDE/>
        <w:autoSpaceDN/>
        <w:adjustRightInd/>
        <w:spacing w:after="120"/>
        <w:rPr>
          <w:rFonts w:ascii="Times New Roman" w:hAnsi="Times New Roman" w:cs="Times New Roman"/>
          <w:vanish/>
          <w:sz w:val="24"/>
          <w:szCs w:val="24"/>
        </w:rPr>
      </w:pPr>
    </w:p>
    <w:p w:rsidR="00E24E44" w:rsidRPr="00E24E44" w:rsidRDefault="00A52681" w:rsidP="00E24E44">
      <w:pPr>
        <w:pStyle w:val="Requirement"/>
        <w:numPr>
          <w:ilvl w:val="0"/>
          <w:numId w:val="29"/>
        </w:numPr>
        <w:tabs>
          <w:tab w:val="left" w:pos="2592"/>
        </w:tabs>
        <w:rPr>
          <w:i/>
        </w:rPr>
      </w:pPr>
      <w:r>
        <w:t xml:space="preserve"> </w:t>
      </w:r>
      <w:r w:rsidR="00E24E44" w:rsidRPr="004C4313">
        <w:t xml:space="preserve">When calculating </w:t>
      </w:r>
      <w:r w:rsidR="00E24E44">
        <w:t>n</w:t>
      </w:r>
      <w:r w:rsidR="00E24E44" w:rsidRPr="004C4313">
        <w:t>on-</w:t>
      </w:r>
      <w:r w:rsidR="00E24E44">
        <w:t>f</w:t>
      </w:r>
      <w:r w:rsidR="00E24E44" w:rsidRPr="004C4313">
        <w:t xml:space="preserve">irm ATC for a </w:t>
      </w:r>
      <w:r w:rsidR="00E24E44">
        <w:t>ATC</w:t>
      </w:r>
      <w:r w:rsidR="00E24E44" w:rsidRPr="004C4313">
        <w:t xml:space="preserve"> Path for a specified period, the Transmission Service Provider shall use the following </w:t>
      </w:r>
      <w:r w:rsidR="00E24E44">
        <w:t>algorithm</w:t>
      </w:r>
      <w:r w:rsidR="00E24E44" w:rsidRPr="004C4313">
        <w:t xml:space="preserve">:  </w:t>
      </w:r>
      <w:r w:rsidR="00E24E44" w:rsidRPr="00E24E44">
        <w:rPr>
          <w:i/>
        </w:rPr>
        <w:t>[Violation Risk Factor: Lower] [Time Horizon: Operations Planning]</w:t>
      </w:r>
    </w:p>
    <w:p w:rsidR="00E24E44" w:rsidRPr="00231A6F" w:rsidRDefault="00E24E44" w:rsidP="00E24E44">
      <w:pPr>
        <w:pStyle w:val="List2"/>
        <w:ind w:left="1296"/>
        <w:rPr>
          <w:rFonts w:ascii="Times New Roman" w:hAnsi="Times New Roman" w:cs="Times New Roman"/>
          <w:vertAlign w:val="subscript"/>
        </w:rPr>
      </w:pPr>
      <w:r w:rsidRPr="00231A6F">
        <w:rPr>
          <w:rFonts w:ascii="Times New Roman" w:hAnsi="Times New Roman" w:cs="Times New Roman"/>
        </w:rPr>
        <w:t>ATC</w:t>
      </w:r>
      <w:r w:rsidRPr="00231A6F">
        <w:rPr>
          <w:rFonts w:ascii="Times New Roman" w:hAnsi="Times New Roman" w:cs="Times New Roman"/>
          <w:vertAlign w:val="subscript"/>
        </w:rPr>
        <w:t>NF</w:t>
      </w:r>
      <w:r w:rsidRPr="00231A6F">
        <w:rPr>
          <w:rFonts w:ascii="Times New Roman" w:hAnsi="Times New Roman" w:cs="Times New Roman"/>
        </w:rPr>
        <w:t xml:space="preserve"> = TTC – ETC</w:t>
      </w:r>
      <w:r w:rsidRPr="00231A6F">
        <w:rPr>
          <w:rFonts w:ascii="Times New Roman" w:hAnsi="Times New Roman" w:cs="Times New Roman"/>
          <w:vertAlign w:val="subscript"/>
        </w:rPr>
        <w:t xml:space="preserve">F </w:t>
      </w:r>
      <w:r w:rsidRPr="00231A6F">
        <w:rPr>
          <w:rFonts w:ascii="Times New Roman" w:hAnsi="Times New Roman" w:cs="Times New Roman"/>
        </w:rPr>
        <w:t>- ETC</w:t>
      </w:r>
      <w:r w:rsidRPr="00231A6F">
        <w:rPr>
          <w:rFonts w:ascii="Times New Roman" w:hAnsi="Times New Roman" w:cs="Times New Roman"/>
          <w:vertAlign w:val="subscript"/>
        </w:rPr>
        <w:t>NF</w:t>
      </w:r>
      <w:r w:rsidRPr="00231A6F">
        <w:rPr>
          <w:rFonts w:ascii="Times New Roman" w:hAnsi="Times New Roman" w:cs="Times New Roman"/>
        </w:rPr>
        <w:t xml:space="preserve"> – CBM</w:t>
      </w:r>
      <w:r w:rsidRPr="00231A6F">
        <w:rPr>
          <w:rFonts w:ascii="Times New Roman" w:hAnsi="Times New Roman" w:cs="Times New Roman"/>
          <w:vertAlign w:val="subscript"/>
        </w:rPr>
        <w:t>S</w:t>
      </w:r>
      <w:r w:rsidRPr="00231A6F">
        <w:rPr>
          <w:rFonts w:ascii="Times New Roman" w:hAnsi="Times New Roman" w:cs="Times New Roman"/>
        </w:rPr>
        <w:t xml:space="preserve"> – TRM</w:t>
      </w:r>
      <w:r w:rsidRPr="00231A6F">
        <w:rPr>
          <w:rFonts w:ascii="Times New Roman" w:hAnsi="Times New Roman" w:cs="Times New Roman"/>
          <w:vertAlign w:val="subscript"/>
        </w:rPr>
        <w:t>U</w:t>
      </w:r>
      <w:r w:rsidRPr="00231A6F">
        <w:rPr>
          <w:rFonts w:ascii="Times New Roman" w:hAnsi="Times New Roman" w:cs="Times New Roman"/>
        </w:rPr>
        <w:t xml:space="preserve"> + Postbacks</w:t>
      </w:r>
      <w:r w:rsidRPr="00231A6F">
        <w:rPr>
          <w:rFonts w:ascii="Times New Roman" w:hAnsi="Times New Roman" w:cs="Times New Roman"/>
          <w:vertAlign w:val="subscript"/>
        </w:rPr>
        <w:t>NF</w:t>
      </w:r>
      <w:r w:rsidRPr="00231A6F">
        <w:rPr>
          <w:rFonts w:ascii="Times New Roman" w:hAnsi="Times New Roman" w:cs="Times New Roman"/>
        </w:rPr>
        <w:t xml:space="preserve"> + counterflows</w:t>
      </w:r>
      <w:r w:rsidRPr="00231A6F">
        <w:rPr>
          <w:rFonts w:ascii="Times New Roman" w:hAnsi="Times New Roman" w:cs="Times New Roman"/>
          <w:vertAlign w:val="subscript"/>
        </w:rPr>
        <w:t>NF</w:t>
      </w:r>
    </w:p>
    <w:p w:rsidR="00E24E44" w:rsidRPr="00231A6F" w:rsidRDefault="00E24E44" w:rsidP="00E24E44">
      <w:pPr>
        <w:pStyle w:val="List2"/>
        <w:ind w:left="1800" w:hanging="900"/>
        <w:rPr>
          <w:rFonts w:ascii="Times New Roman" w:hAnsi="Times New Roman" w:cs="Times New Roman"/>
          <w:b/>
        </w:rPr>
      </w:pPr>
      <w:r w:rsidRPr="00231A6F">
        <w:rPr>
          <w:rFonts w:ascii="Times New Roman" w:hAnsi="Times New Roman" w:cs="Times New Roman"/>
          <w:b/>
        </w:rPr>
        <w:t>Where:</w:t>
      </w: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ATC</w:t>
      </w:r>
      <w:r w:rsidRPr="00231A6F">
        <w:rPr>
          <w:rFonts w:ascii="Times New Roman" w:hAnsi="Times New Roman" w:cs="Times New Roman"/>
          <w:b/>
          <w:vertAlign w:val="subscript"/>
        </w:rPr>
        <w:t>NF</w:t>
      </w:r>
      <w:r w:rsidRPr="00231A6F">
        <w:rPr>
          <w:rFonts w:ascii="Times New Roman" w:hAnsi="Times New Roman" w:cs="Times New Roman"/>
        </w:rPr>
        <w:t xml:space="preserve"> is the non-firm Available Transfer Capability for the ATC Path for that period.</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 xml:space="preserve">TTC </w:t>
      </w:r>
      <w:r w:rsidRPr="00231A6F">
        <w:rPr>
          <w:rFonts w:ascii="Times New Roman" w:hAnsi="Times New Roman" w:cs="Times New Roman"/>
        </w:rPr>
        <w:t>is the Total Transfer Capability of the ATC Path for that period.</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ETC</w:t>
      </w:r>
      <w:r w:rsidRPr="00231A6F">
        <w:rPr>
          <w:rFonts w:ascii="Times New Roman" w:hAnsi="Times New Roman" w:cs="Times New Roman"/>
          <w:b/>
          <w:vertAlign w:val="subscript"/>
        </w:rPr>
        <w:t>F</w:t>
      </w:r>
      <w:r w:rsidRPr="00231A6F">
        <w:rPr>
          <w:rFonts w:ascii="Times New Roman" w:hAnsi="Times New Roman" w:cs="Times New Roman"/>
          <w:b/>
        </w:rPr>
        <w:t xml:space="preserve"> </w:t>
      </w:r>
      <w:r w:rsidRPr="00231A6F">
        <w:rPr>
          <w:rFonts w:ascii="Times New Roman" w:hAnsi="Times New Roman" w:cs="Times New Roman"/>
        </w:rPr>
        <w:t>is the sum of existing firm Transmission commitments for the ATC Path during that period.</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ETC</w:t>
      </w:r>
      <w:r w:rsidRPr="00231A6F">
        <w:rPr>
          <w:rFonts w:ascii="Times New Roman" w:hAnsi="Times New Roman" w:cs="Times New Roman"/>
          <w:b/>
          <w:vertAlign w:val="subscript"/>
        </w:rPr>
        <w:t>NF</w:t>
      </w:r>
      <w:r w:rsidRPr="00231A6F">
        <w:rPr>
          <w:rFonts w:ascii="Times New Roman" w:hAnsi="Times New Roman" w:cs="Times New Roman"/>
        </w:rPr>
        <w:t xml:space="preserve"> is the sum of existing non-firm Transmission commitments for the ATC Path during that period.</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CBM</w:t>
      </w:r>
      <w:r w:rsidRPr="00231A6F">
        <w:rPr>
          <w:rFonts w:ascii="Times New Roman" w:hAnsi="Times New Roman" w:cs="Times New Roman"/>
          <w:b/>
          <w:vertAlign w:val="subscript"/>
        </w:rPr>
        <w:t>S</w:t>
      </w:r>
      <w:r w:rsidRPr="00231A6F">
        <w:rPr>
          <w:rFonts w:ascii="Times New Roman" w:hAnsi="Times New Roman" w:cs="Times New Roman"/>
        </w:rPr>
        <w:t xml:space="preserve"> is the Capacity Benefit Margin for the ATC Path that has been scheduled without a separate reservation during that period.</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TRM</w:t>
      </w:r>
      <w:r w:rsidRPr="00231A6F">
        <w:rPr>
          <w:rFonts w:ascii="Times New Roman" w:hAnsi="Times New Roman" w:cs="Times New Roman"/>
          <w:b/>
          <w:vertAlign w:val="subscript"/>
        </w:rPr>
        <w:t>U</w:t>
      </w:r>
      <w:r w:rsidRPr="00231A6F">
        <w:rPr>
          <w:rFonts w:ascii="Times New Roman" w:hAnsi="Times New Roman" w:cs="Times New Roman"/>
        </w:rPr>
        <w:t xml:space="preserve"> is the Transmission Reliability Margin for the ATC Path that has not been released for sale (unreleased) as non-firm capacity by the Transmission Service Provider during that period. </w:t>
      </w:r>
    </w:p>
    <w:p w:rsidR="00231A6F" w:rsidRPr="00231A6F" w:rsidRDefault="00231A6F" w:rsidP="00E24E44">
      <w:pPr>
        <w:pStyle w:val="List2"/>
        <w:ind w:left="1620"/>
        <w:rPr>
          <w:rFonts w:ascii="Times New Roman" w:hAnsi="Times New Roman" w:cs="Times New Roman"/>
        </w:rPr>
      </w:pPr>
    </w:p>
    <w:p w:rsidR="00E24E44" w:rsidRDefault="00E24E44" w:rsidP="00E24E44">
      <w:pPr>
        <w:pStyle w:val="List2"/>
        <w:ind w:left="1620"/>
        <w:rPr>
          <w:rFonts w:ascii="Times New Roman" w:hAnsi="Times New Roman" w:cs="Times New Roman"/>
        </w:rPr>
      </w:pPr>
      <w:r w:rsidRPr="00231A6F">
        <w:rPr>
          <w:rFonts w:ascii="Times New Roman" w:hAnsi="Times New Roman" w:cs="Times New Roman"/>
          <w:b/>
        </w:rPr>
        <w:t>Postbacks</w:t>
      </w:r>
      <w:r w:rsidRPr="00231A6F">
        <w:rPr>
          <w:rFonts w:ascii="Times New Roman" w:hAnsi="Times New Roman" w:cs="Times New Roman"/>
          <w:b/>
          <w:vertAlign w:val="subscript"/>
        </w:rPr>
        <w:t>NF</w:t>
      </w:r>
      <w:r w:rsidRPr="00231A6F">
        <w:rPr>
          <w:rFonts w:ascii="Times New Roman" w:hAnsi="Times New Roman" w:cs="Times New Roman"/>
          <w:vertAlign w:val="subscript"/>
        </w:rPr>
        <w:softHyphen/>
      </w:r>
      <w:r w:rsidRPr="00231A6F">
        <w:rPr>
          <w:rFonts w:ascii="Times New Roman" w:hAnsi="Times New Roman" w:cs="Times New Roman"/>
        </w:rPr>
        <w:t xml:space="preserve"> are changes to non-firm ATC due to a change in the use of Transmission Service for that period, as defined in Business Practices.</w:t>
      </w:r>
    </w:p>
    <w:p w:rsidR="00231A6F" w:rsidRPr="00231A6F" w:rsidRDefault="00231A6F" w:rsidP="00E24E44">
      <w:pPr>
        <w:pStyle w:val="List2"/>
        <w:ind w:left="1620"/>
        <w:rPr>
          <w:rFonts w:ascii="Times New Roman" w:hAnsi="Times New Roman" w:cs="Times New Roman"/>
        </w:rPr>
      </w:pPr>
    </w:p>
    <w:p w:rsidR="00E24E44" w:rsidRPr="00231A6F" w:rsidRDefault="00E24E44" w:rsidP="00E24E44">
      <w:pPr>
        <w:pStyle w:val="List2"/>
        <w:ind w:left="1620"/>
        <w:rPr>
          <w:rFonts w:ascii="Times New Roman" w:hAnsi="Times New Roman" w:cs="Times New Roman"/>
        </w:rPr>
      </w:pPr>
      <w:r w:rsidRPr="00231A6F">
        <w:rPr>
          <w:rFonts w:ascii="Times New Roman" w:hAnsi="Times New Roman" w:cs="Times New Roman"/>
          <w:b/>
        </w:rPr>
        <w:t>counterflows</w:t>
      </w:r>
      <w:r w:rsidRPr="00231A6F">
        <w:rPr>
          <w:rFonts w:ascii="Times New Roman" w:hAnsi="Times New Roman" w:cs="Times New Roman"/>
          <w:b/>
          <w:vertAlign w:val="subscript"/>
        </w:rPr>
        <w:t>NF</w:t>
      </w:r>
      <w:r w:rsidRPr="00231A6F">
        <w:rPr>
          <w:rFonts w:ascii="Times New Roman" w:hAnsi="Times New Roman" w:cs="Times New Roman"/>
          <w:vertAlign w:val="subscript"/>
        </w:rPr>
        <w:t xml:space="preserve"> </w:t>
      </w:r>
      <w:r w:rsidRPr="00231A6F">
        <w:rPr>
          <w:rFonts w:ascii="Times New Roman" w:hAnsi="Times New Roman" w:cs="Times New Roman"/>
        </w:rPr>
        <w:t>are adjustments to non-firm ATC as determined by the Transmission Service Provider and specified in the ATCID.</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B53833" w:rsidRPr="00884825" w:rsidRDefault="00B53833" w:rsidP="00884825">
      <w:pPr>
        <w:pStyle w:val="Heading1"/>
      </w:pPr>
      <w:r w:rsidRPr="00884825">
        <w:t>R11 Supporting Evidence and Documentation</w:t>
      </w:r>
    </w:p>
    <w:p w:rsidR="00B53833" w:rsidRDefault="00B53833" w:rsidP="00B53833">
      <w:pPr>
        <w:widowControl w:val="0"/>
        <w:spacing w:line="266" w:lineRule="exact"/>
        <w:rPr>
          <w:rFonts w:ascii="Times New Roman" w:hAnsi="Times New Roman" w:cs="Times New Roman"/>
          <w:b/>
          <w:bCs/>
          <w:color w:val="FF0000"/>
          <w:sz w:val="24"/>
          <w:szCs w:val="24"/>
        </w:rPr>
      </w:pPr>
    </w:p>
    <w:p w:rsidR="00B53833" w:rsidRPr="00003496" w:rsidRDefault="00B53833" w:rsidP="00B53833">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53833" w:rsidTr="00B53833">
        <w:trPr>
          <w:gridAfter w:val="1"/>
          <w:wAfter w:w="1224" w:type="dxa"/>
          <w:trHeight w:val="945"/>
        </w:trPr>
        <w:tc>
          <w:tcPr>
            <w:tcW w:w="1098" w:type="dxa"/>
            <w:tcBorders>
              <w:top w:val="nil"/>
              <w:left w:val="nil"/>
              <w:bottom w:val="nil"/>
              <w:right w:val="nil"/>
            </w:tcBorders>
          </w:tcPr>
          <w:p w:rsidR="00B53833" w:rsidRDefault="00B53833">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B53833" w:rsidRDefault="00B53833">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B53833" w:rsidRDefault="00B53833">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B53833" w:rsidTr="00B53833">
        <w:tc>
          <w:tcPr>
            <w:tcW w:w="78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B53833" w:rsidRDefault="00B53833">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hideMark/>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r w:rsidR="00B53833" w:rsidTr="00B53833">
        <w:tc>
          <w:tcPr>
            <w:tcW w:w="78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B53833" w:rsidRDefault="00B53833">
            <w:pPr>
              <w:widowControl w:val="0"/>
              <w:tabs>
                <w:tab w:val="left" w:pos="900"/>
                <w:tab w:val="left" w:pos="6360"/>
              </w:tabs>
              <w:spacing w:line="294" w:lineRule="exact"/>
              <w:rPr>
                <w:rFonts w:ascii="Times New Roman" w:hAnsi="Times New Roman" w:cs="Times New Roman"/>
                <w:b/>
                <w:bCs/>
                <w:sz w:val="24"/>
                <w:szCs w:val="24"/>
              </w:rPr>
            </w:pPr>
          </w:p>
        </w:tc>
      </w:tr>
    </w:tbl>
    <w:p w:rsidR="00B53833" w:rsidRDefault="00B53833"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w:t>
      </w:r>
      <w:r w:rsidR="005B7019">
        <w:rPr>
          <w:rFonts w:ascii="Times New Roman" w:hAnsi="Times New Roman" w:cs="Times New Roman"/>
          <w:b/>
          <w:bCs/>
          <w:color w:val="003366"/>
          <w:sz w:val="24"/>
          <w:szCs w:val="24"/>
        </w:rPr>
        <w:t>28</w:t>
      </w:r>
      <w:r>
        <w:rPr>
          <w:rFonts w:ascii="Times New Roman" w:hAnsi="Times New Roman" w:cs="Times New Roman"/>
          <w:b/>
          <w:bCs/>
          <w:color w:val="003366"/>
          <w:sz w:val="24"/>
          <w:szCs w:val="24"/>
        </w:rPr>
        <w:t>-</w:t>
      </w:r>
      <w:r w:rsidR="00C53536">
        <w:rPr>
          <w:rFonts w:ascii="Times New Roman" w:hAnsi="Times New Roman" w:cs="Times New Roman"/>
          <w:b/>
          <w:bCs/>
          <w:color w:val="003366"/>
          <w:sz w:val="24"/>
          <w:szCs w:val="24"/>
        </w:rPr>
        <w:t>2</w:t>
      </w:r>
      <w:r>
        <w:rPr>
          <w:rFonts w:ascii="Times New Roman" w:hAnsi="Times New Roman" w:cs="Times New Roman"/>
          <w:b/>
          <w:bCs/>
          <w:color w:val="003366"/>
          <w:sz w:val="24"/>
          <w:szCs w:val="24"/>
        </w:rPr>
        <w:t xml:space="preserve"> R</w:t>
      </w:r>
      <w:r w:rsidR="00E24E44">
        <w:rPr>
          <w:rFonts w:ascii="Times New Roman" w:hAnsi="Times New Roman" w:cs="Times New Roman"/>
          <w:b/>
          <w:bCs/>
          <w:color w:val="003366"/>
          <w:sz w:val="24"/>
          <w:szCs w:val="24"/>
        </w:rPr>
        <w:t>11</w:t>
      </w:r>
    </w:p>
    <w:p w:rsidR="00A52681" w:rsidRPr="005E50A4" w:rsidRDefault="00A52681" w:rsidP="00A52681">
      <w:pPr>
        <w:rPr>
          <w:rFonts w:ascii="Times New Roman" w:hAnsi="Times New Roman" w:cs="Times New Roman"/>
          <w:color w:val="365F91"/>
          <w:sz w:val="24"/>
          <w:szCs w:val="24"/>
        </w:rPr>
      </w:pPr>
    </w:p>
    <w:p w:rsidR="005B7019" w:rsidRDefault="005B7019" w:rsidP="005B7019">
      <w:pPr>
        <w:widowControl w:val="0"/>
        <w:tabs>
          <w:tab w:val="left" w:pos="60"/>
        </w:tabs>
        <w:spacing w:line="294" w:lineRule="exact"/>
        <w:rPr>
          <w:rFonts w:ascii="Times New Roman" w:hAnsi="Times New Roman" w:cs="Times New Roman"/>
          <w:color w:val="365F91"/>
          <w:sz w:val="24"/>
          <w:szCs w:val="24"/>
        </w:rPr>
      </w:pPr>
      <w:r>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Verify the TSP used the following algorithm when calculating non-firm ATC for an ATC </w:t>
      </w:r>
      <w:r w:rsidR="001F7340">
        <w:rPr>
          <w:rFonts w:ascii="Times New Roman" w:hAnsi="Times New Roman" w:cs="Times New Roman"/>
          <w:color w:val="365F91"/>
          <w:sz w:val="24"/>
          <w:szCs w:val="24"/>
        </w:rPr>
        <w:t>P</w:t>
      </w:r>
      <w:r>
        <w:rPr>
          <w:rFonts w:ascii="Times New Roman" w:hAnsi="Times New Roman" w:cs="Times New Roman"/>
          <w:color w:val="365F91"/>
          <w:sz w:val="24"/>
          <w:szCs w:val="24"/>
        </w:rPr>
        <w:t>ath for a specific period:</w:t>
      </w:r>
    </w:p>
    <w:p w:rsidR="005B7019" w:rsidRDefault="005B7019" w:rsidP="005B7019">
      <w:pPr>
        <w:pStyle w:val="List2"/>
        <w:ind w:left="1296"/>
        <w:rPr>
          <w:rFonts w:ascii="Times New Roman" w:hAnsi="Times New Roman" w:cs="Times New Roman"/>
          <w:color w:val="365F91"/>
          <w:sz w:val="24"/>
          <w:szCs w:val="24"/>
        </w:rPr>
      </w:pPr>
    </w:p>
    <w:p w:rsidR="005B7019" w:rsidRPr="005B7019" w:rsidRDefault="005B7019" w:rsidP="005B7019">
      <w:pPr>
        <w:pStyle w:val="List2"/>
        <w:ind w:left="1296"/>
        <w:rPr>
          <w:rFonts w:ascii="Times New Roman" w:hAnsi="Times New Roman" w:cs="Times New Roman"/>
          <w:color w:val="365F91"/>
          <w:sz w:val="24"/>
          <w:szCs w:val="24"/>
          <w:vertAlign w:val="subscript"/>
        </w:rPr>
      </w:pPr>
      <w:r w:rsidRPr="005B7019">
        <w:rPr>
          <w:rFonts w:ascii="Times New Roman" w:hAnsi="Times New Roman" w:cs="Times New Roman"/>
          <w:color w:val="365F91"/>
          <w:sz w:val="24"/>
          <w:szCs w:val="24"/>
        </w:rPr>
        <w:t>ATC</w:t>
      </w:r>
      <w:r w:rsidRPr="005B7019">
        <w:rPr>
          <w:rFonts w:ascii="Times New Roman" w:hAnsi="Times New Roman" w:cs="Times New Roman"/>
          <w:color w:val="365F91"/>
          <w:sz w:val="24"/>
          <w:szCs w:val="24"/>
          <w:vertAlign w:val="subscript"/>
        </w:rPr>
        <w:t>NF</w:t>
      </w:r>
      <w:r w:rsidRPr="005B7019">
        <w:rPr>
          <w:rFonts w:ascii="Times New Roman" w:hAnsi="Times New Roman" w:cs="Times New Roman"/>
          <w:color w:val="365F91"/>
          <w:sz w:val="24"/>
          <w:szCs w:val="24"/>
        </w:rPr>
        <w:t xml:space="preserve"> = TTC – ETC</w:t>
      </w:r>
      <w:r w:rsidRPr="005B7019">
        <w:rPr>
          <w:rFonts w:ascii="Times New Roman" w:hAnsi="Times New Roman" w:cs="Times New Roman"/>
          <w:color w:val="365F91"/>
          <w:sz w:val="24"/>
          <w:szCs w:val="24"/>
          <w:vertAlign w:val="subscript"/>
        </w:rPr>
        <w:t xml:space="preserve">F </w:t>
      </w:r>
      <w:r w:rsidRPr="005B7019">
        <w:rPr>
          <w:rFonts w:ascii="Times New Roman" w:hAnsi="Times New Roman" w:cs="Times New Roman"/>
          <w:color w:val="365F91"/>
          <w:sz w:val="24"/>
          <w:szCs w:val="24"/>
        </w:rPr>
        <w:t>- ETC</w:t>
      </w:r>
      <w:r w:rsidRPr="005B7019">
        <w:rPr>
          <w:rFonts w:ascii="Times New Roman" w:hAnsi="Times New Roman" w:cs="Times New Roman"/>
          <w:color w:val="365F91"/>
          <w:sz w:val="24"/>
          <w:szCs w:val="24"/>
          <w:vertAlign w:val="subscript"/>
        </w:rPr>
        <w:t>NF</w:t>
      </w:r>
      <w:r w:rsidRPr="005B7019">
        <w:rPr>
          <w:rFonts w:ascii="Times New Roman" w:hAnsi="Times New Roman" w:cs="Times New Roman"/>
          <w:color w:val="365F91"/>
          <w:sz w:val="24"/>
          <w:szCs w:val="24"/>
        </w:rPr>
        <w:t xml:space="preserve"> – CBM</w:t>
      </w:r>
      <w:r w:rsidRPr="005B7019">
        <w:rPr>
          <w:rFonts w:ascii="Times New Roman" w:hAnsi="Times New Roman" w:cs="Times New Roman"/>
          <w:color w:val="365F91"/>
          <w:sz w:val="24"/>
          <w:szCs w:val="24"/>
          <w:vertAlign w:val="subscript"/>
        </w:rPr>
        <w:t>S</w:t>
      </w:r>
      <w:r w:rsidRPr="005B7019">
        <w:rPr>
          <w:rFonts w:ascii="Times New Roman" w:hAnsi="Times New Roman" w:cs="Times New Roman"/>
          <w:color w:val="365F91"/>
          <w:sz w:val="24"/>
          <w:szCs w:val="24"/>
        </w:rPr>
        <w:t xml:space="preserve"> – TRM</w:t>
      </w:r>
      <w:r w:rsidRPr="005B7019">
        <w:rPr>
          <w:rFonts w:ascii="Times New Roman" w:hAnsi="Times New Roman" w:cs="Times New Roman"/>
          <w:color w:val="365F91"/>
          <w:sz w:val="24"/>
          <w:szCs w:val="24"/>
          <w:vertAlign w:val="subscript"/>
        </w:rPr>
        <w:t>U</w:t>
      </w:r>
      <w:r w:rsidRPr="005B7019">
        <w:rPr>
          <w:rFonts w:ascii="Times New Roman" w:hAnsi="Times New Roman" w:cs="Times New Roman"/>
          <w:color w:val="365F91"/>
          <w:sz w:val="24"/>
          <w:szCs w:val="24"/>
        </w:rPr>
        <w:t xml:space="preserve"> + Postbacks</w:t>
      </w:r>
      <w:r w:rsidRPr="005B7019">
        <w:rPr>
          <w:rFonts w:ascii="Times New Roman" w:hAnsi="Times New Roman" w:cs="Times New Roman"/>
          <w:color w:val="365F91"/>
          <w:sz w:val="24"/>
          <w:szCs w:val="24"/>
          <w:vertAlign w:val="subscript"/>
        </w:rPr>
        <w:t>NF</w:t>
      </w:r>
      <w:r w:rsidRPr="005B7019">
        <w:rPr>
          <w:rFonts w:ascii="Times New Roman" w:hAnsi="Times New Roman" w:cs="Times New Roman"/>
          <w:color w:val="365F91"/>
          <w:sz w:val="24"/>
          <w:szCs w:val="24"/>
        </w:rPr>
        <w:t xml:space="preserve"> + counterflows</w:t>
      </w:r>
      <w:r w:rsidRPr="005B7019">
        <w:rPr>
          <w:rFonts w:ascii="Times New Roman" w:hAnsi="Times New Roman" w:cs="Times New Roman"/>
          <w:color w:val="365F91"/>
          <w:sz w:val="24"/>
          <w:szCs w:val="24"/>
          <w:vertAlign w:val="subscript"/>
        </w:rPr>
        <w:t>NF</w:t>
      </w:r>
    </w:p>
    <w:p w:rsidR="00A52681"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3496" w:rsidRPr="001F467C" w:rsidRDefault="00003496"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884825" w:rsidRDefault="00884825" w:rsidP="00884825"/>
    <w:p w:rsidR="00003496" w:rsidRDefault="00003496">
      <w:pPr>
        <w:autoSpaceDE/>
        <w:autoSpaceDN/>
        <w:adjustRightInd/>
      </w:pPr>
      <w:r>
        <w:br w:type="page"/>
      </w:r>
    </w:p>
    <w:p w:rsidR="001D0C8A" w:rsidRPr="00884825" w:rsidRDefault="001D0C8A" w:rsidP="00884825">
      <w:pPr>
        <w:pStyle w:val="Heading1"/>
        <w:rPr>
          <w:szCs w:val="24"/>
        </w:rPr>
      </w:pPr>
      <w:r w:rsidRPr="00884825">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1D0C8A" w:rsidRDefault="001D0C8A" w:rsidP="001D0C8A">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If necessary, provide additional information here that demonstrates compliance with this Reliability Standard. The questions above, if any, may not be all inclusive of evidence required to show compliance. Additional narrative may be provided which displays evidence of compliance with this Reliability Standard. </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rsidR="001D0C8A" w:rsidRDefault="001D0C8A" w:rsidP="005B7019">
      <w:pPr>
        <w:pStyle w:val="Heading1"/>
        <w:rPr>
          <w:sz w:val="20"/>
          <w:szCs w:val="20"/>
        </w:rPr>
      </w:pPr>
      <w:r w:rsidRPr="00884825">
        <w:t>Compliance Findings Summary</w:t>
      </w:r>
      <w:r>
        <w:t xml:space="preserve"> </w:t>
      </w:r>
      <w:r w:rsidRPr="001F77C7">
        <w:rPr>
          <w:sz w:val="20"/>
          <w:szCs w:val="20"/>
        </w:rPr>
        <w:t>(to be filled out by auditor)</w:t>
      </w:r>
    </w:p>
    <w:p w:rsidR="005D3794" w:rsidRPr="005D3794" w:rsidRDefault="005D3794" w:rsidP="005D3794"/>
    <w:tbl>
      <w:tblPr>
        <w:tblW w:w="0" w:type="auto"/>
        <w:tblLook w:val="00A0" w:firstRow="1" w:lastRow="0" w:firstColumn="1" w:lastColumn="0" w:noHBand="0" w:noVBand="0"/>
      </w:tblPr>
      <w:tblGrid>
        <w:gridCol w:w="692"/>
        <w:gridCol w:w="536"/>
        <w:gridCol w:w="571"/>
        <w:gridCol w:w="737"/>
        <w:gridCol w:w="563"/>
        <w:gridCol w:w="7917"/>
      </w:tblGrid>
      <w:tr w:rsidR="00B53833" w:rsidRPr="008374A0" w:rsidTr="00B53833">
        <w:tc>
          <w:tcPr>
            <w:tcW w:w="692" w:type="dxa"/>
            <w:tcBorders>
              <w:top w:val="single" w:sz="4" w:space="0" w:color="548DD4"/>
              <w:bottom w:val="single" w:sz="4" w:space="0" w:color="548DD4"/>
            </w:tcBorders>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B53833" w:rsidRPr="008374A0" w:rsidRDefault="00C53536" w:rsidP="00C53536">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414" w:type="dxa"/>
            <w:tcBorders>
              <w:top w:val="single" w:sz="4" w:space="0" w:color="548DD4"/>
              <w:bottom w:val="single" w:sz="4" w:space="0" w:color="548DD4"/>
            </w:tcBorders>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98" w:type="dxa"/>
            <w:tcBorders>
              <w:top w:val="single" w:sz="4" w:space="0" w:color="548DD4"/>
              <w:bottom w:val="single" w:sz="4" w:space="0" w:color="548DD4"/>
            </w:tcBorders>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3DFEE"/>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auto"/>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auto"/>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53833" w:rsidRPr="008374A0" w:rsidTr="00B53833">
        <w:tc>
          <w:tcPr>
            <w:tcW w:w="692" w:type="dxa"/>
            <w:tcBorders>
              <w:top w:val="single" w:sz="4" w:space="0" w:color="548DD4"/>
              <w:left w:val="single" w:sz="4" w:space="0" w:color="548DD4"/>
              <w:bottom w:val="single" w:sz="4" w:space="0" w:color="548DD4"/>
              <w:right w:val="single" w:sz="4" w:space="0" w:color="548DD4"/>
            </w:tcBorders>
            <w:shd w:val="clear" w:color="auto" w:fill="DBE5F1"/>
          </w:tcPr>
          <w:p w:rsidR="00B53833"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414"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298" w:type="dxa"/>
            <w:tcBorders>
              <w:top w:val="single" w:sz="4" w:space="0" w:color="548DD4"/>
              <w:left w:val="single" w:sz="4" w:space="0" w:color="548DD4"/>
              <w:bottom w:val="single" w:sz="4" w:space="0" w:color="548DD4"/>
              <w:right w:val="single" w:sz="4" w:space="0" w:color="548DD4"/>
            </w:tcBorders>
            <w:shd w:val="clear" w:color="auto" w:fill="DBE5F1"/>
          </w:tcPr>
          <w:p w:rsidR="00B53833" w:rsidRPr="008374A0" w:rsidRDefault="00B53833"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231A6F">
        <w:rPr>
          <w:rFonts w:ascii="Times New Roman" w:hAnsi="Times New Roman" w:cs="Times New Roman"/>
          <w:b/>
          <w:sz w:val="24"/>
          <w:szCs w:val="24"/>
        </w:rPr>
        <w:t>August 2010</w:t>
      </w:r>
    </w:p>
    <w:p w:rsidR="007B5AA7" w:rsidRPr="007B5AA7" w:rsidRDefault="001F7340"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MOD-028-1</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635DEF" w:rsidRDefault="00C5582A" w:rsidP="00635DEF">
      <w:pPr>
        <w:rPr>
          <w:rFonts w:ascii="Times New Roman" w:hAnsi="Times New Roman" w:cs="Times New Roman"/>
          <w:b/>
          <w:sz w:val="24"/>
          <w:szCs w:val="24"/>
        </w:rPr>
      </w:pPr>
      <w:r>
        <w:rPr>
          <w:rFonts w:ascii="Times New Roman" w:hAnsi="Times New Roman" w:cs="Times New Roman"/>
          <w:b/>
          <w:sz w:val="24"/>
          <w:szCs w:val="24"/>
        </w:rPr>
        <w:t xml:space="preserve">Order </w:t>
      </w:r>
      <w:r w:rsidR="00E81F31">
        <w:rPr>
          <w:rFonts w:ascii="Times New Roman" w:hAnsi="Times New Roman" w:cs="Times New Roman"/>
          <w:b/>
          <w:sz w:val="24"/>
          <w:szCs w:val="24"/>
        </w:rPr>
        <w:t xml:space="preserve">No. </w:t>
      </w:r>
      <w:r>
        <w:rPr>
          <w:rFonts w:ascii="Times New Roman" w:hAnsi="Times New Roman" w:cs="Times New Roman"/>
          <w:b/>
          <w:sz w:val="24"/>
          <w:szCs w:val="24"/>
        </w:rPr>
        <w:t>729</w:t>
      </w:r>
    </w:p>
    <w:p w:rsidR="00C5582A" w:rsidRDefault="00C5582A" w:rsidP="00635DEF">
      <w:pPr>
        <w:rPr>
          <w:rFonts w:ascii="Times New Roman" w:hAnsi="Times New Roman" w:cs="Times New Roman"/>
          <w:b/>
          <w:sz w:val="24"/>
          <w:szCs w:val="24"/>
        </w:rPr>
      </w:pPr>
      <w:r>
        <w:rPr>
          <w:rFonts w:ascii="Times New Roman" w:hAnsi="Times New Roman" w:cs="Times New Roman"/>
          <w:b/>
          <w:sz w:val="24"/>
          <w:szCs w:val="24"/>
        </w:rPr>
        <w:t>(November 24, 2009)</w:t>
      </w:r>
    </w:p>
    <w:p w:rsidR="00231A6F" w:rsidRPr="00C5582A" w:rsidRDefault="00231A6F" w:rsidP="00635DEF">
      <w:pPr>
        <w:rPr>
          <w:rFonts w:ascii="Times New Roman" w:hAnsi="Times New Roman" w:cs="Times New Roman"/>
          <w:b/>
          <w:sz w:val="24"/>
          <w:szCs w:val="24"/>
        </w:rPr>
      </w:pPr>
    </w:p>
    <w:p w:rsidR="00231A6F" w:rsidRPr="00C5582A" w:rsidRDefault="00231A6F" w:rsidP="00231A6F">
      <w:pPr>
        <w:rPr>
          <w:rFonts w:ascii="Times New Roman" w:hAnsi="Times New Roman" w:cs="Times New Roman"/>
          <w:sz w:val="24"/>
          <w:szCs w:val="24"/>
        </w:rPr>
      </w:pPr>
      <w:r w:rsidRPr="00C5582A">
        <w:rPr>
          <w:rFonts w:ascii="Times New Roman" w:hAnsi="Times New Roman" w:cs="Times New Roman"/>
          <w:sz w:val="24"/>
          <w:szCs w:val="24"/>
        </w:rPr>
        <w:t>171. The Commission finds that MOD-028-1 and MOD-029-1 fail to address the directive in Order No. 693 to specify how transmission service providers should determine which generators should be modeled in service when calculating available transfer capability.</w:t>
      </w:r>
      <w:r w:rsidRPr="00C5582A">
        <w:rPr>
          <w:rFonts w:ascii="Times New Roman" w:hAnsi="Times New Roman" w:cs="Times New Roman"/>
          <w:b/>
          <w:bCs/>
          <w:sz w:val="24"/>
          <w:szCs w:val="24"/>
        </w:rPr>
        <w:t xml:space="preserve">101 </w:t>
      </w:r>
      <w:r w:rsidRPr="00C5582A">
        <w:rPr>
          <w:rFonts w:ascii="Times New Roman" w:hAnsi="Times New Roman" w:cs="Times New Roman"/>
          <w:sz w:val="24"/>
          <w:szCs w:val="24"/>
        </w:rPr>
        <w:t>Specifically, the Commission directed the ERO to develop a modification to the Reliability Standards to specify that base generation schedules used in the calculation of available transfer capability will reflect the modeling of all designated network resources and other resources that are committed to or have the legal obligation to run, as they are expected to run, and to address the effect on available transfer capability of designating and undesignating a network resource.</w:t>
      </w:r>
    </w:p>
    <w:p w:rsidR="00231A6F" w:rsidRPr="00C5582A" w:rsidRDefault="00231A6F" w:rsidP="00231A6F">
      <w:pPr>
        <w:rPr>
          <w:rFonts w:ascii="Times New Roman" w:hAnsi="Times New Roman" w:cs="Times New Roman"/>
          <w:sz w:val="24"/>
          <w:szCs w:val="24"/>
        </w:rPr>
      </w:pPr>
    </w:p>
    <w:p w:rsidR="00231A6F" w:rsidRPr="00C5582A" w:rsidRDefault="00231A6F" w:rsidP="00231A6F">
      <w:pPr>
        <w:rPr>
          <w:rFonts w:ascii="Times New Roman" w:hAnsi="Times New Roman" w:cs="Times New Roman"/>
          <w:sz w:val="24"/>
          <w:szCs w:val="24"/>
        </w:rPr>
      </w:pPr>
      <w:r w:rsidRPr="00C5582A">
        <w:rPr>
          <w:rFonts w:ascii="Times New Roman" w:hAnsi="Times New Roman" w:cs="Times New Roman"/>
          <w:sz w:val="24"/>
          <w:szCs w:val="24"/>
        </w:rPr>
        <w:t>173. The Commission therefore directs the ERO, pursuant to section 215(d)(5) of the FPA and section 39.5(f) of our regulations, to develop a modification to MOD-028-1 and MOD-029-1 to specify that base generation schedules used in the calculation of available transfer capability will reflect the modeling of all designated network resources and other resources that are committed to or have the legal obligation to run, as they are expected to run, and to address the effect on available transfer capability of designating and undesignating a network resource.</w:t>
      </w:r>
    </w:p>
    <w:p w:rsidR="00231A6F" w:rsidRPr="00C5582A" w:rsidRDefault="00231A6F" w:rsidP="00231A6F">
      <w:pPr>
        <w:rPr>
          <w:rFonts w:ascii="Times New Roman" w:hAnsi="Times New Roman" w:cs="Times New Roman"/>
          <w:sz w:val="24"/>
          <w:szCs w:val="24"/>
        </w:rPr>
      </w:pPr>
    </w:p>
    <w:p w:rsidR="00231A6F" w:rsidRPr="00C5582A" w:rsidRDefault="00231A6F" w:rsidP="00231A6F">
      <w:pPr>
        <w:rPr>
          <w:rFonts w:ascii="Times New Roman" w:hAnsi="Times New Roman" w:cs="Times New Roman"/>
          <w:sz w:val="24"/>
          <w:szCs w:val="24"/>
        </w:rPr>
      </w:pPr>
      <w:r w:rsidRPr="00C5582A">
        <w:rPr>
          <w:rFonts w:ascii="Times New Roman" w:hAnsi="Times New Roman" w:cs="Times New Roman"/>
          <w:sz w:val="24"/>
          <w:szCs w:val="24"/>
        </w:rPr>
        <w:t xml:space="preserve">231. The Commission understands sub-requirement </w:t>
      </w:r>
      <w:r w:rsidR="00C5582A" w:rsidRPr="00C5582A">
        <w:rPr>
          <w:rFonts w:ascii="Times New Roman" w:hAnsi="Times New Roman" w:cs="Times New Roman"/>
          <w:sz w:val="24"/>
          <w:szCs w:val="24"/>
        </w:rPr>
        <w:t xml:space="preserve">R2.2 of MOD-028-1 to mean that, </w:t>
      </w:r>
      <w:r w:rsidRPr="00C5582A">
        <w:rPr>
          <w:rFonts w:ascii="Times New Roman" w:hAnsi="Times New Roman" w:cs="Times New Roman"/>
          <w:sz w:val="24"/>
          <w:szCs w:val="24"/>
        </w:rPr>
        <w:t>when calculating total transfer capability for available transfer capability paths,</w:t>
      </w:r>
      <w:r w:rsidR="00C5582A" w:rsidRPr="00C5582A">
        <w:rPr>
          <w:rFonts w:ascii="Times New Roman" w:hAnsi="Times New Roman" w:cs="Times New Roman"/>
          <w:sz w:val="24"/>
          <w:szCs w:val="24"/>
        </w:rPr>
        <w:t xml:space="preserve"> a </w:t>
      </w:r>
      <w:r w:rsidRPr="00C5582A">
        <w:rPr>
          <w:rFonts w:ascii="Times New Roman" w:hAnsi="Times New Roman" w:cs="Times New Roman"/>
          <w:sz w:val="24"/>
          <w:szCs w:val="24"/>
        </w:rPr>
        <w:t>transmission operator shall use a transmission model t</w:t>
      </w:r>
      <w:r w:rsidR="00C5582A" w:rsidRPr="00C5582A">
        <w:rPr>
          <w:rFonts w:ascii="Times New Roman" w:hAnsi="Times New Roman" w:cs="Times New Roman"/>
          <w:sz w:val="24"/>
          <w:szCs w:val="24"/>
        </w:rPr>
        <w:t xml:space="preserve">hat includes relevant data from </w:t>
      </w:r>
      <w:r w:rsidRPr="00C5582A">
        <w:rPr>
          <w:rFonts w:ascii="Times New Roman" w:hAnsi="Times New Roman" w:cs="Times New Roman"/>
          <w:sz w:val="24"/>
          <w:szCs w:val="24"/>
        </w:rPr>
        <w:t>reliability coordination areas that are not adjacent. While w</w:t>
      </w:r>
      <w:r w:rsidR="00C5582A" w:rsidRPr="00C5582A">
        <w:rPr>
          <w:rFonts w:ascii="Times New Roman" w:hAnsi="Times New Roman" w:cs="Times New Roman"/>
          <w:sz w:val="24"/>
          <w:szCs w:val="24"/>
        </w:rPr>
        <w:t xml:space="preserve">e believe that the provision is </w:t>
      </w:r>
      <w:r w:rsidRPr="00C5582A">
        <w:rPr>
          <w:rFonts w:ascii="Times New Roman" w:hAnsi="Times New Roman" w:cs="Times New Roman"/>
          <w:sz w:val="24"/>
          <w:szCs w:val="24"/>
        </w:rPr>
        <w:t>reasonably clear, the Commission agrees that the term “and beyond” could b</w:t>
      </w:r>
      <w:r w:rsidR="00C5582A" w:rsidRPr="00C5582A">
        <w:rPr>
          <w:rFonts w:ascii="Times New Roman" w:hAnsi="Times New Roman" w:cs="Times New Roman"/>
          <w:sz w:val="24"/>
          <w:szCs w:val="24"/>
        </w:rPr>
        <w:t xml:space="preserve">e better </w:t>
      </w:r>
      <w:r w:rsidRPr="00C5582A">
        <w:rPr>
          <w:rFonts w:ascii="Times New Roman" w:hAnsi="Times New Roman" w:cs="Times New Roman"/>
          <w:sz w:val="24"/>
          <w:szCs w:val="24"/>
        </w:rPr>
        <w:t>explained. Accordingly, pursuant to section 215(d)(5) of</w:t>
      </w:r>
      <w:r w:rsidR="00C5582A" w:rsidRPr="00C5582A">
        <w:rPr>
          <w:rFonts w:ascii="Times New Roman" w:hAnsi="Times New Roman" w:cs="Times New Roman"/>
          <w:sz w:val="24"/>
          <w:szCs w:val="24"/>
        </w:rPr>
        <w:t xml:space="preserve"> the FPA and section 39.5(f) of </w:t>
      </w:r>
      <w:r w:rsidRPr="00C5582A">
        <w:rPr>
          <w:rFonts w:ascii="Times New Roman" w:hAnsi="Times New Roman" w:cs="Times New Roman"/>
          <w:sz w:val="24"/>
          <w:szCs w:val="24"/>
        </w:rPr>
        <w:t>our regulations, the Commission directs the ERO to develo</w:t>
      </w:r>
      <w:r w:rsidR="00C5582A" w:rsidRPr="00C5582A">
        <w:rPr>
          <w:rFonts w:ascii="Times New Roman" w:hAnsi="Times New Roman" w:cs="Times New Roman"/>
          <w:sz w:val="24"/>
          <w:szCs w:val="24"/>
        </w:rPr>
        <w:t xml:space="preserve">p a modification subrequirement </w:t>
      </w:r>
      <w:r w:rsidRPr="00C5582A">
        <w:rPr>
          <w:rFonts w:ascii="Times New Roman" w:hAnsi="Times New Roman" w:cs="Times New Roman"/>
          <w:sz w:val="24"/>
          <w:szCs w:val="24"/>
        </w:rPr>
        <w:t>R2.2 pursuant to its Reliability Standards development process to clar</w:t>
      </w:r>
      <w:r w:rsidR="00C5582A" w:rsidRPr="00C5582A">
        <w:rPr>
          <w:rFonts w:ascii="Times New Roman" w:hAnsi="Times New Roman" w:cs="Times New Roman"/>
          <w:sz w:val="24"/>
          <w:szCs w:val="24"/>
        </w:rPr>
        <w:t xml:space="preserve">ify the </w:t>
      </w:r>
      <w:r w:rsidRPr="00C5582A">
        <w:rPr>
          <w:rFonts w:ascii="Times New Roman" w:hAnsi="Times New Roman" w:cs="Times New Roman"/>
          <w:sz w:val="24"/>
          <w:szCs w:val="24"/>
        </w:rPr>
        <w:t>phrase “adjacent and beyond Reliability Coordination areas.”</w:t>
      </w:r>
    </w:p>
    <w:p w:rsidR="00231A6F" w:rsidRPr="00C5582A" w:rsidRDefault="00231A6F" w:rsidP="00231A6F">
      <w:pPr>
        <w:rPr>
          <w:rFonts w:ascii="Times New Roman" w:hAnsi="Times New Roman" w:cs="Times New Roman"/>
          <w:sz w:val="24"/>
          <w:szCs w:val="24"/>
        </w:rPr>
      </w:pPr>
    </w:p>
    <w:p w:rsidR="00231A6F" w:rsidRPr="00C5582A" w:rsidRDefault="00231A6F" w:rsidP="00231A6F">
      <w:pPr>
        <w:rPr>
          <w:rFonts w:ascii="Times New Roman" w:hAnsi="Times New Roman" w:cs="Times New Roman"/>
          <w:sz w:val="24"/>
          <w:szCs w:val="24"/>
        </w:rPr>
      </w:pPr>
      <w:r w:rsidRPr="00C5582A">
        <w:rPr>
          <w:rFonts w:ascii="Times New Roman" w:hAnsi="Times New Roman" w:cs="Times New Roman"/>
          <w:sz w:val="24"/>
          <w:szCs w:val="24"/>
        </w:rPr>
        <w:t>234. The Commission believes that, as written,</w:t>
      </w:r>
      <w:r w:rsidR="00C5582A" w:rsidRPr="00C5582A">
        <w:rPr>
          <w:rFonts w:ascii="Times New Roman" w:hAnsi="Times New Roman" w:cs="Times New Roman"/>
          <w:sz w:val="24"/>
          <w:szCs w:val="24"/>
        </w:rPr>
        <w:t xml:space="preserve"> the time frames established in </w:t>
      </w:r>
      <w:r w:rsidRPr="00C5582A">
        <w:rPr>
          <w:rFonts w:ascii="Times New Roman" w:hAnsi="Times New Roman" w:cs="Times New Roman"/>
          <w:sz w:val="24"/>
          <w:szCs w:val="24"/>
        </w:rPr>
        <w:t>Requirement R5 are just and reasonable because they balan</w:t>
      </w:r>
      <w:r w:rsidR="00C5582A" w:rsidRPr="00C5582A">
        <w:rPr>
          <w:rFonts w:ascii="Times New Roman" w:hAnsi="Times New Roman" w:cs="Times New Roman"/>
          <w:sz w:val="24"/>
          <w:szCs w:val="24"/>
        </w:rPr>
        <w:t xml:space="preserve">ce the need to reliably operate </w:t>
      </w:r>
      <w:r w:rsidRPr="00C5582A">
        <w:rPr>
          <w:rFonts w:ascii="Times New Roman" w:hAnsi="Times New Roman" w:cs="Times New Roman"/>
          <w:sz w:val="24"/>
          <w:szCs w:val="24"/>
        </w:rPr>
        <w:t>the grid with the burden on transmission operators to recalc</w:t>
      </w:r>
      <w:r w:rsidR="00C5582A" w:rsidRPr="00C5582A">
        <w:rPr>
          <w:rFonts w:ascii="Times New Roman" w:hAnsi="Times New Roman" w:cs="Times New Roman"/>
          <w:sz w:val="24"/>
          <w:szCs w:val="24"/>
        </w:rPr>
        <w:t xml:space="preserve">ulate total transfer capability </w:t>
      </w:r>
      <w:r w:rsidRPr="00C5582A">
        <w:rPr>
          <w:rFonts w:ascii="Times New Roman" w:hAnsi="Times New Roman" w:cs="Times New Roman"/>
          <w:sz w:val="24"/>
          <w:szCs w:val="24"/>
        </w:rPr>
        <w:t>even when total transfer capability does not often chang</w:t>
      </w:r>
      <w:r w:rsidR="00C5582A" w:rsidRPr="00C5582A">
        <w:rPr>
          <w:rFonts w:ascii="Times New Roman" w:hAnsi="Times New Roman" w:cs="Times New Roman"/>
          <w:sz w:val="24"/>
          <w:szCs w:val="24"/>
        </w:rPr>
        <w:t xml:space="preserve">e. Nevertheless, the Commission </w:t>
      </w:r>
      <w:r w:rsidRPr="00C5582A">
        <w:rPr>
          <w:rFonts w:ascii="Times New Roman" w:hAnsi="Times New Roman" w:cs="Times New Roman"/>
          <w:sz w:val="24"/>
          <w:szCs w:val="24"/>
        </w:rPr>
        <w:t>agrees that a graduated time frame for reposting could be</w:t>
      </w:r>
      <w:r w:rsidR="00C5582A" w:rsidRPr="00C5582A">
        <w:rPr>
          <w:rFonts w:ascii="Times New Roman" w:hAnsi="Times New Roman" w:cs="Times New Roman"/>
          <w:sz w:val="24"/>
          <w:szCs w:val="24"/>
        </w:rPr>
        <w:t xml:space="preserve"> reasonable in some situations. </w:t>
      </w:r>
      <w:r w:rsidRPr="00C5582A">
        <w:rPr>
          <w:rFonts w:ascii="Times New Roman" w:hAnsi="Times New Roman" w:cs="Times New Roman"/>
          <w:sz w:val="24"/>
          <w:szCs w:val="24"/>
        </w:rPr>
        <w:t>Accordingly, the ERO should consider this suggestion w</w:t>
      </w:r>
      <w:r w:rsidR="00C5582A" w:rsidRPr="00C5582A">
        <w:rPr>
          <w:rFonts w:ascii="Times New Roman" w:hAnsi="Times New Roman" w:cs="Times New Roman"/>
          <w:sz w:val="24"/>
          <w:szCs w:val="24"/>
        </w:rPr>
        <w:t xml:space="preserve">hen making future modifications </w:t>
      </w:r>
      <w:r w:rsidRPr="00C5582A">
        <w:rPr>
          <w:rFonts w:ascii="Times New Roman" w:hAnsi="Times New Roman" w:cs="Times New Roman"/>
          <w:sz w:val="24"/>
          <w:szCs w:val="24"/>
        </w:rPr>
        <w:t>to the Reliability Standards.</w:t>
      </w:r>
    </w:p>
    <w:p w:rsidR="00231A6F" w:rsidRPr="00C5582A" w:rsidRDefault="00231A6F" w:rsidP="00231A6F">
      <w:pPr>
        <w:rPr>
          <w:rFonts w:ascii="Times New Roman" w:hAnsi="Times New Roman" w:cs="Times New Roman"/>
          <w:sz w:val="24"/>
          <w:szCs w:val="24"/>
        </w:rPr>
      </w:pPr>
    </w:p>
    <w:p w:rsidR="00231A6F" w:rsidRPr="00C5582A" w:rsidRDefault="00231A6F" w:rsidP="00231A6F">
      <w:pPr>
        <w:rPr>
          <w:rFonts w:ascii="Times New Roman" w:hAnsi="Times New Roman" w:cs="Times New Roman"/>
          <w:sz w:val="24"/>
          <w:szCs w:val="24"/>
        </w:rPr>
      </w:pPr>
      <w:r w:rsidRPr="00C5582A">
        <w:rPr>
          <w:rFonts w:ascii="Times New Roman" w:hAnsi="Times New Roman" w:cs="Times New Roman"/>
          <w:sz w:val="24"/>
          <w:szCs w:val="24"/>
        </w:rPr>
        <w:t>237. The Commission agrees that any distribution factor to be used should be clearly</w:t>
      </w:r>
      <w:r w:rsidR="00C5582A" w:rsidRPr="00C5582A">
        <w:rPr>
          <w:rFonts w:ascii="Times New Roman" w:hAnsi="Times New Roman" w:cs="Times New Roman"/>
          <w:sz w:val="24"/>
          <w:szCs w:val="24"/>
        </w:rPr>
        <w:t xml:space="preserve"> </w:t>
      </w:r>
      <w:r w:rsidRPr="00C5582A">
        <w:rPr>
          <w:rFonts w:ascii="Times New Roman" w:hAnsi="Times New Roman" w:cs="Times New Roman"/>
          <w:sz w:val="24"/>
          <w:szCs w:val="24"/>
        </w:rPr>
        <w:t>stated in the implementation document, and that to facilitat</w:t>
      </w:r>
      <w:r w:rsidR="00C5582A" w:rsidRPr="00C5582A">
        <w:rPr>
          <w:rFonts w:ascii="Times New Roman" w:hAnsi="Times New Roman" w:cs="Times New Roman"/>
          <w:sz w:val="24"/>
          <w:szCs w:val="24"/>
        </w:rPr>
        <w:t xml:space="preserve">e consistent and </w:t>
      </w:r>
      <w:r w:rsidRPr="00C5582A">
        <w:rPr>
          <w:rFonts w:ascii="Times New Roman" w:hAnsi="Times New Roman" w:cs="Times New Roman"/>
          <w:sz w:val="24"/>
          <w:szCs w:val="24"/>
        </w:rPr>
        <w:t>understandable results the distribution factors used in determ</w:t>
      </w:r>
      <w:r w:rsidR="00C5582A" w:rsidRPr="00C5582A">
        <w:rPr>
          <w:rFonts w:ascii="Times New Roman" w:hAnsi="Times New Roman" w:cs="Times New Roman"/>
          <w:sz w:val="24"/>
          <w:szCs w:val="24"/>
        </w:rPr>
        <w:t xml:space="preserve">ining total transfer capability </w:t>
      </w:r>
      <w:r w:rsidRPr="00C5582A">
        <w:rPr>
          <w:rFonts w:ascii="Times New Roman" w:hAnsi="Times New Roman" w:cs="Times New Roman"/>
          <w:sz w:val="24"/>
          <w:szCs w:val="24"/>
        </w:rPr>
        <w:t>should be applied consistently. Accordingly, pursuant to section 215(d)(5) of the FPA and section 39.5(f) of our regulations, the Commission dire</w:t>
      </w:r>
      <w:r w:rsidR="00C5582A" w:rsidRPr="00C5582A">
        <w:rPr>
          <w:rFonts w:ascii="Times New Roman" w:hAnsi="Times New Roman" w:cs="Times New Roman"/>
          <w:sz w:val="24"/>
          <w:szCs w:val="24"/>
        </w:rPr>
        <w:t xml:space="preserve">cts the ERO to develop a </w:t>
      </w:r>
      <w:r w:rsidRPr="00C5582A">
        <w:rPr>
          <w:rFonts w:ascii="Times New Roman" w:hAnsi="Times New Roman" w:cs="Times New Roman"/>
          <w:sz w:val="24"/>
          <w:szCs w:val="24"/>
        </w:rPr>
        <w:t>modification to MOD-028-1 pursuant to its Reliability S</w:t>
      </w:r>
      <w:r w:rsidR="00C5582A" w:rsidRPr="00C5582A">
        <w:rPr>
          <w:rFonts w:ascii="Times New Roman" w:hAnsi="Times New Roman" w:cs="Times New Roman"/>
          <w:sz w:val="24"/>
          <w:szCs w:val="24"/>
        </w:rPr>
        <w:t xml:space="preserve">tandards development process to </w:t>
      </w:r>
      <w:r w:rsidRPr="00C5582A">
        <w:rPr>
          <w:rFonts w:ascii="Times New Roman" w:hAnsi="Times New Roman" w:cs="Times New Roman"/>
          <w:sz w:val="24"/>
          <w:szCs w:val="24"/>
        </w:rPr>
        <w:t>address these two concerns.</w:t>
      </w:r>
    </w:p>
    <w:p w:rsidR="00231A6F" w:rsidRPr="00C5582A" w:rsidRDefault="00231A6F" w:rsidP="00231A6F">
      <w:pPr>
        <w:rPr>
          <w:rFonts w:ascii="Times New Roman" w:hAnsi="Times New Roman" w:cs="Times New Roman"/>
          <w:sz w:val="24"/>
          <w:szCs w:val="24"/>
        </w:rPr>
      </w:pPr>
    </w:p>
    <w:p w:rsidR="00231A6F" w:rsidRPr="00C5582A" w:rsidRDefault="00231A6F" w:rsidP="00231A6F">
      <w:pPr>
        <w:rPr>
          <w:rFonts w:ascii="Times New Roman" w:hAnsi="Times New Roman" w:cs="Times New Roman"/>
          <w:b/>
          <w:sz w:val="24"/>
          <w:szCs w:val="24"/>
        </w:rPr>
      </w:pPr>
      <w:r w:rsidRPr="00C5582A">
        <w:rPr>
          <w:rFonts w:ascii="Times New Roman" w:hAnsi="Times New Roman" w:cs="Times New Roman"/>
          <w:b/>
          <w:sz w:val="24"/>
          <w:szCs w:val="24"/>
        </w:rPr>
        <w:t xml:space="preserve">Order </w:t>
      </w:r>
      <w:r w:rsidR="00E81F31">
        <w:rPr>
          <w:rFonts w:ascii="Times New Roman" w:hAnsi="Times New Roman" w:cs="Times New Roman"/>
          <w:b/>
          <w:sz w:val="24"/>
          <w:szCs w:val="24"/>
        </w:rPr>
        <w:t xml:space="preserve">No. </w:t>
      </w:r>
      <w:r w:rsidRPr="00C5582A">
        <w:rPr>
          <w:rFonts w:ascii="Times New Roman" w:hAnsi="Times New Roman" w:cs="Times New Roman"/>
          <w:b/>
          <w:sz w:val="24"/>
          <w:szCs w:val="24"/>
        </w:rPr>
        <w:t>729A</w:t>
      </w:r>
    </w:p>
    <w:p w:rsidR="00231A6F" w:rsidRPr="00C5582A" w:rsidRDefault="00231A6F" w:rsidP="00231A6F">
      <w:pPr>
        <w:rPr>
          <w:rFonts w:ascii="Times New Roman" w:hAnsi="Times New Roman" w:cs="Times New Roman"/>
          <w:b/>
          <w:sz w:val="24"/>
          <w:szCs w:val="24"/>
        </w:rPr>
      </w:pPr>
      <w:r w:rsidRPr="00C5582A">
        <w:rPr>
          <w:rFonts w:ascii="Times New Roman" w:hAnsi="Times New Roman" w:cs="Times New Roman"/>
          <w:b/>
          <w:sz w:val="24"/>
          <w:szCs w:val="24"/>
        </w:rPr>
        <w:t>(May 5, 2010)</w:t>
      </w:r>
    </w:p>
    <w:p w:rsidR="00231A6F" w:rsidRPr="00C5582A" w:rsidRDefault="00231A6F" w:rsidP="00231A6F">
      <w:pPr>
        <w:pStyle w:val="Default"/>
      </w:pPr>
    </w:p>
    <w:p w:rsidR="00231A6F" w:rsidRPr="00C5582A" w:rsidRDefault="00231A6F" w:rsidP="00231A6F">
      <w:pPr>
        <w:pStyle w:val="Default"/>
      </w:pPr>
      <w:r w:rsidRPr="00C5582A">
        <w:t>20. In the Final Rule, the Commission did not intend to direct the ERO to necessarily develop a modification to Requirement R8 of MOD-028-1. The ERO may develop a modification to another appropriate requirement of MOD-028-1 to capture the additional specificity required regarding the effect of designating and undesignating a network resource on existing transmission commitments or, as Duke notes, any other relevant component of available transmission capacity. Nevertheless, any modification developed to fulfill this requirement must specify how transmission providers should model base generation dispatch in a consistent manner that includes all designated network resources and other resources that are committed to or have the legal obligation to run, as they are expected to run.</w:t>
      </w:r>
    </w:p>
    <w:p w:rsidR="00231A6F" w:rsidRPr="00231A6F" w:rsidRDefault="00231A6F" w:rsidP="00231A6F">
      <w:pPr>
        <w:rPr>
          <w:rFonts w:ascii="Times New Roman" w:hAnsi="Times New Roman" w:cs="Times New Roman"/>
          <w:b/>
          <w:sz w:val="26"/>
          <w:szCs w:val="26"/>
        </w:rPr>
      </w:pPr>
    </w:p>
    <w:p w:rsidR="00231A6F" w:rsidRDefault="00E81F31" w:rsidP="00635DEF">
      <w:pPr>
        <w:rPr>
          <w:rFonts w:ascii="Times New Roman" w:hAnsi="Times New Roman" w:cs="Times New Roman"/>
          <w:b/>
          <w:sz w:val="24"/>
          <w:szCs w:val="24"/>
        </w:rPr>
      </w:pPr>
      <w:r w:rsidRPr="00E81F31">
        <w:rPr>
          <w:rFonts w:ascii="Times New Roman" w:hAnsi="Times New Roman" w:cs="Times New Roman"/>
          <w:b/>
          <w:sz w:val="24"/>
          <w:szCs w:val="24"/>
        </w:rPr>
        <w:t>Order No. 782</w:t>
      </w:r>
    </w:p>
    <w:p w:rsidR="00E81F31" w:rsidRDefault="00E81F31" w:rsidP="00635DEF">
      <w:pPr>
        <w:rPr>
          <w:rFonts w:ascii="Times New Roman" w:hAnsi="Times New Roman" w:cs="Times New Roman"/>
          <w:b/>
          <w:sz w:val="24"/>
          <w:szCs w:val="24"/>
        </w:rPr>
      </w:pPr>
      <w:r>
        <w:rPr>
          <w:rFonts w:ascii="Times New Roman" w:hAnsi="Times New Roman" w:cs="Times New Roman"/>
          <w:b/>
          <w:sz w:val="24"/>
          <w:szCs w:val="24"/>
        </w:rPr>
        <w:t>(</w:t>
      </w:r>
      <w:r w:rsidRPr="00E81F31">
        <w:rPr>
          <w:rFonts w:ascii="Times New Roman" w:hAnsi="Times New Roman" w:cs="Times New Roman"/>
          <w:b/>
          <w:sz w:val="24"/>
          <w:szCs w:val="24"/>
        </w:rPr>
        <w:t>July 18, 2013</w:t>
      </w:r>
      <w:r>
        <w:rPr>
          <w:rFonts w:ascii="Times New Roman" w:hAnsi="Times New Roman" w:cs="Times New Roman"/>
          <w:b/>
          <w:sz w:val="24"/>
          <w:szCs w:val="24"/>
        </w:rPr>
        <w:t>)</w:t>
      </w:r>
    </w:p>
    <w:p w:rsidR="00E81F31" w:rsidRDefault="00E81F31" w:rsidP="00635DEF">
      <w:pPr>
        <w:rPr>
          <w:rFonts w:ascii="Times New Roman" w:hAnsi="Times New Roman" w:cs="Times New Roman"/>
          <w:b/>
          <w:sz w:val="24"/>
          <w:szCs w:val="24"/>
        </w:rPr>
      </w:pPr>
    </w:p>
    <w:p w:rsidR="00E81F31" w:rsidRDefault="00E81F31" w:rsidP="00E81F31">
      <w:pPr>
        <w:rPr>
          <w:rFonts w:ascii="Times New Roman" w:hAnsi="Times New Roman" w:cs="Times New Roman"/>
          <w:sz w:val="24"/>
          <w:szCs w:val="24"/>
        </w:rPr>
      </w:pPr>
      <w:r w:rsidRPr="00E81F31">
        <w:rPr>
          <w:rFonts w:ascii="Times New Roman" w:hAnsi="Times New Roman" w:cs="Times New Roman"/>
          <w:sz w:val="24"/>
          <w:szCs w:val="24"/>
        </w:rPr>
        <w:t>14.</w:t>
      </w:r>
      <w:r>
        <w:rPr>
          <w:rFonts w:ascii="Times New Roman" w:hAnsi="Times New Roman" w:cs="Times New Roman"/>
          <w:sz w:val="24"/>
          <w:szCs w:val="24"/>
        </w:rPr>
        <w:t xml:space="preserve">  </w:t>
      </w:r>
      <w:r w:rsidRPr="00E81F31">
        <w:rPr>
          <w:rFonts w:ascii="Times New Roman" w:hAnsi="Times New Roman" w:cs="Times New Roman"/>
          <w:sz w:val="24"/>
          <w:szCs w:val="24"/>
        </w:rPr>
        <w:tab/>
        <w:t xml:space="preserve">Pursuant to section 215(d)(2) of the FPA, we approve Reliability Standard MOD-028-2 as just, reasonable, not unduly discriminatory or preferential, and in the public interest.  The Commission also approves NERC’s proposed implementation plan, i.e., that the standard shall become effective on the first day of the first calendar quarter after Commission approval, and retirement of the currently-effective Reliability Standard MOD-028-1.  NERC’s clarifying revision to Requirement R3.1.2 of MOD-028-2 allows a transmission operator the flexibility to choose either a daily or hourly load forecast when forecasting current-day and next-day TTC.   This revision does not present reliability concerns.  </w:t>
      </w:r>
    </w:p>
    <w:p w:rsidR="00E81F31" w:rsidRPr="00E81F31" w:rsidRDefault="00E81F31" w:rsidP="00E81F31">
      <w:pPr>
        <w:rPr>
          <w:rFonts w:ascii="Times New Roman" w:hAnsi="Times New Roman" w:cs="Times New Roman"/>
          <w:sz w:val="24"/>
          <w:szCs w:val="24"/>
        </w:rPr>
      </w:pPr>
    </w:p>
    <w:p w:rsidR="00E81F31" w:rsidRPr="00E81F31" w:rsidRDefault="00E81F31" w:rsidP="00E81F31">
      <w:pPr>
        <w:rPr>
          <w:rFonts w:ascii="Times New Roman" w:hAnsi="Times New Roman" w:cs="Times New Roman"/>
          <w:sz w:val="24"/>
          <w:szCs w:val="24"/>
        </w:rPr>
      </w:pPr>
      <w:r w:rsidRPr="00E81F31">
        <w:rPr>
          <w:rFonts w:ascii="Times New Roman" w:hAnsi="Times New Roman" w:cs="Times New Roman"/>
          <w:sz w:val="24"/>
          <w:szCs w:val="24"/>
        </w:rPr>
        <w:t>15.</w:t>
      </w:r>
      <w:r>
        <w:rPr>
          <w:rFonts w:ascii="Times New Roman" w:hAnsi="Times New Roman" w:cs="Times New Roman"/>
          <w:sz w:val="24"/>
          <w:szCs w:val="24"/>
        </w:rPr>
        <w:t xml:space="preserve">  </w:t>
      </w:r>
      <w:r w:rsidRPr="00E81F31">
        <w:rPr>
          <w:rFonts w:ascii="Times New Roman" w:hAnsi="Times New Roman" w:cs="Times New Roman"/>
          <w:sz w:val="24"/>
          <w:szCs w:val="24"/>
        </w:rPr>
        <w:tab/>
        <w:t>In the NOPR, the Commission asked for comment on a potential market-related concern regarding whether a transmission operator using daily on-peak load forecasts in determining off-peak TTC for the current day could, either purposefully or inadvertently, suppress off-peak ATC used by generators that make off-peak sales, or other customers who purchase hourly service.  In response to the NOPR, two entities submitted comments, both supporting Commission approval of MOD-028-2.  Southern Company Services comments that the flexibility in Requirement R3.1 does not give rise to the potential for undue discrimination in ATC calculations.  NERC states that the proposed modification to Reliability Standard MOD-028-2 clarifies the existing language and provides flexibility for operators to select a methodology that best fits their needs.  NERC comments that it “expect[s] that entities will implement proposed Reliability Standard MOD-028-2 consistent with their existing legal obligations, i.e., pursuant to open access transmission tariffs, e</w:t>
      </w:r>
      <w:r>
        <w:rPr>
          <w:rFonts w:ascii="Times New Roman" w:hAnsi="Times New Roman" w:cs="Times New Roman"/>
          <w:sz w:val="24"/>
          <w:szCs w:val="24"/>
        </w:rPr>
        <w:t xml:space="preserve">tc.”  </w:t>
      </w:r>
      <w:r w:rsidRPr="00E81F31">
        <w:rPr>
          <w:rFonts w:ascii="Times New Roman" w:hAnsi="Times New Roman" w:cs="Times New Roman"/>
          <w:sz w:val="24"/>
          <w:szCs w:val="24"/>
        </w:rPr>
        <w:t xml:space="preserve">NERC adds that, “while it might be possible for an entity to use a load forecast assumption that is not applicable to the period being calculated, the Commission can mitigate such risks through complaints and the Commission’s market oversight authority.”      </w:t>
      </w:r>
    </w:p>
    <w:p w:rsidR="00E81F31" w:rsidRDefault="00E81F31" w:rsidP="00E81F31">
      <w:pPr>
        <w:rPr>
          <w:rFonts w:ascii="Times New Roman" w:hAnsi="Times New Roman" w:cs="Times New Roman"/>
          <w:sz w:val="24"/>
          <w:szCs w:val="24"/>
        </w:rPr>
      </w:pPr>
    </w:p>
    <w:p w:rsidR="00E81F31" w:rsidRDefault="00E81F31" w:rsidP="00E81F31">
      <w:pPr>
        <w:rPr>
          <w:rFonts w:ascii="Times New Roman" w:hAnsi="Times New Roman" w:cs="Times New Roman"/>
          <w:sz w:val="24"/>
          <w:szCs w:val="24"/>
        </w:rPr>
      </w:pPr>
      <w:r w:rsidRPr="00E81F31">
        <w:rPr>
          <w:rFonts w:ascii="Times New Roman" w:hAnsi="Times New Roman" w:cs="Times New Roman"/>
          <w:sz w:val="24"/>
          <w:szCs w:val="24"/>
        </w:rPr>
        <w:t>16.</w:t>
      </w:r>
      <w:r w:rsidRPr="00E81F31">
        <w:rPr>
          <w:rFonts w:ascii="Times New Roman" w:hAnsi="Times New Roman" w:cs="Times New Roman"/>
          <w:sz w:val="24"/>
          <w:szCs w:val="24"/>
        </w:rPr>
        <w:tab/>
      </w:r>
      <w:r>
        <w:rPr>
          <w:rFonts w:ascii="Times New Roman" w:hAnsi="Times New Roman" w:cs="Times New Roman"/>
          <w:sz w:val="24"/>
          <w:szCs w:val="24"/>
        </w:rPr>
        <w:t xml:space="preserve">  </w:t>
      </w:r>
      <w:r w:rsidRPr="00E81F31">
        <w:rPr>
          <w:rFonts w:ascii="Times New Roman" w:hAnsi="Times New Roman" w:cs="Times New Roman"/>
          <w:sz w:val="24"/>
          <w:szCs w:val="24"/>
        </w:rPr>
        <w:t>We are satisfied that the modification to Requirement R3.1 does not give rise to any immediate market-related concerns in the instant proceeding.  No entity filed comments raising the concern that a transmission operator would use a load forecast assumption that is not applicable to the period being calculated.  However, we agree with NERC that, consistent with Order No. 729, the risk of a transmission service provider using parameters and assumptions to skew its ATC values can be mitigated through complaints a</w:t>
      </w:r>
      <w:r>
        <w:rPr>
          <w:rFonts w:ascii="Times New Roman" w:hAnsi="Times New Roman" w:cs="Times New Roman"/>
          <w:sz w:val="24"/>
          <w:szCs w:val="24"/>
        </w:rPr>
        <w:t xml:space="preserve">nd market oversight authority. </w:t>
      </w:r>
      <w:r w:rsidRPr="00E81F31">
        <w:rPr>
          <w:rFonts w:ascii="Times New Roman" w:hAnsi="Times New Roman" w:cs="Times New Roman"/>
          <w:sz w:val="24"/>
          <w:szCs w:val="24"/>
        </w:rPr>
        <w:t xml:space="preserve"> In addition, as NERC also acknowledges, transmission operators must implement the revised Reliability Standard MOD-028-2 in a manner consistent with their existing legal obligations, including their obligations under their open access transmission tariffs. </w:t>
      </w:r>
    </w:p>
    <w:p w:rsidR="00E81F31" w:rsidRPr="00E81F31" w:rsidRDefault="00E81F31" w:rsidP="00E81F31">
      <w:pPr>
        <w:rPr>
          <w:rFonts w:ascii="Times New Roman" w:hAnsi="Times New Roman" w:cs="Times New Roman"/>
          <w:sz w:val="24"/>
          <w:szCs w:val="24"/>
        </w:rPr>
      </w:pPr>
    </w:p>
    <w:p w:rsidR="00E81F31" w:rsidRPr="00E81F31" w:rsidRDefault="00E81F31" w:rsidP="00E81F31">
      <w:pPr>
        <w:rPr>
          <w:rFonts w:ascii="Times New Roman" w:hAnsi="Times New Roman" w:cs="Times New Roman"/>
          <w:sz w:val="24"/>
          <w:szCs w:val="24"/>
        </w:rPr>
      </w:pPr>
      <w:r w:rsidRPr="00E81F31">
        <w:rPr>
          <w:rFonts w:ascii="Times New Roman" w:hAnsi="Times New Roman" w:cs="Times New Roman"/>
          <w:sz w:val="24"/>
          <w:szCs w:val="24"/>
        </w:rPr>
        <w:t>17.</w:t>
      </w:r>
      <w:r w:rsidRPr="00E81F31">
        <w:rPr>
          <w:rFonts w:ascii="Times New Roman" w:hAnsi="Times New Roman" w:cs="Times New Roman"/>
          <w:sz w:val="24"/>
          <w:szCs w:val="24"/>
        </w:rPr>
        <w:tab/>
      </w:r>
      <w:r>
        <w:rPr>
          <w:rFonts w:ascii="Times New Roman" w:hAnsi="Times New Roman" w:cs="Times New Roman"/>
          <w:sz w:val="24"/>
          <w:szCs w:val="24"/>
        </w:rPr>
        <w:t xml:space="preserve">  </w:t>
      </w:r>
      <w:r w:rsidRPr="00E81F31">
        <w:rPr>
          <w:rFonts w:ascii="Times New Roman" w:hAnsi="Times New Roman" w:cs="Times New Roman"/>
          <w:sz w:val="24"/>
          <w:szCs w:val="24"/>
        </w:rPr>
        <w:t>Accordingly, pursuant to FPA section 215(d)(2), we approve Reliability Standard MOD-028-2.</w:t>
      </w:r>
    </w:p>
    <w:p w:rsidR="00342726" w:rsidRDefault="00342726" w:rsidP="004C005C">
      <w:pPr>
        <w:widowControl w:val="0"/>
        <w:tabs>
          <w:tab w:val="left" w:pos="60"/>
        </w:tabs>
        <w:spacing w:line="200" w:lineRule="exact"/>
        <w:rPr>
          <w:rFonts w:ascii="Times New Roman" w:hAnsi="Times New Roman" w:cs="Times New Roman"/>
          <w:sz w:val="24"/>
          <w:szCs w:val="24"/>
        </w:rPr>
      </w:pPr>
    </w:p>
    <w:p w:rsidR="00342726" w:rsidRPr="0009057C" w:rsidRDefault="002A4F3E" w:rsidP="00342726">
      <w:pPr>
        <w:rPr>
          <w:rFonts w:ascii="Times New Roman" w:hAnsi="Times New Roman" w:cs="Times New Roman"/>
          <w:b/>
          <w:sz w:val="24"/>
          <w:szCs w:val="24"/>
        </w:rPr>
      </w:pPr>
      <w:r>
        <w:rPr>
          <w:rFonts w:ascii="Times New Roman" w:hAnsi="Times New Roman" w:cs="Times New Roman"/>
          <w:b/>
          <w:sz w:val="24"/>
          <w:szCs w:val="24"/>
        </w:rPr>
        <w:t>Re</w:t>
      </w:r>
      <w:r w:rsidR="00342726">
        <w:rPr>
          <w:rFonts w:ascii="Times New Roman" w:hAnsi="Times New Roman" w:cs="Times New Roman"/>
          <w:b/>
          <w:sz w:val="24"/>
          <w:szCs w:val="24"/>
        </w:rPr>
        <w:t>vision History</w:t>
      </w:r>
    </w:p>
    <w:p w:rsidR="00342726" w:rsidRDefault="00342726" w:rsidP="0034272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1890"/>
        <w:gridCol w:w="6228"/>
      </w:tblGrid>
      <w:tr w:rsidR="00342726" w:rsidRPr="00B2607F" w:rsidTr="00884825">
        <w:tc>
          <w:tcPr>
            <w:tcW w:w="1016" w:type="dxa"/>
            <w:shd w:val="pct10" w:color="auto" w:fill="auto"/>
          </w:tcPr>
          <w:p w:rsidR="00342726" w:rsidRPr="00B2607F" w:rsidRDefault="00342726" w:rsidP="00336904">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342726" w:rsidRPr="00B2607F" w:rsidRDefault="00342726" w:rsidP="00336904">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890" w:type="dxa"/>
            <w:shd w:val="pct10" w:color="auto" w:fill="auto"/>
          </w:tcPr>
          <w:p w:rsidR="00342726" w:rsidRPr="00B2607F" w:rsidRDefault="00342726" w:rsidP="00336904">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rsidR="00342726" w:rsidRPr="00B2607F" w:rsidRDefault="00342726" w:rsidP="00336904">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342726" w:rsidRPr="00B2607F" w:rsidTr="00884825">
        <w:tc>
          <w:tcPr>
            <w:tcW w:w="1016" w:type="dxa"/>
          </w:tcPr>
          <w:p w:rsidR="00342726" w:rsidRPr="00B2607F" w:rsidRDefault="00342726" w:rsidP="00336904">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342726" w:rsidRPr="00B2607F" w:rsidRDefault="00342726" w:rsidP="00336904">
            <w:pPr>
              <w:rPr>
                <w:rFonts w:ascii="Times New Roman" w:hAnsi="Times New Roman" w:cs="Times New Roman"/>
                <w:sz w:val="24"/>
                <w:szCs w:val="24"/>
              </w:rPr>
            </w:pPr>
            <w:r>
              <w:rPr>
                <w:rFonts w:ascii="Times New Roman" w:hAnsi="Times New Roman" w:cs="Times New Roman"/>
                <w:sz w:val="24"/>
                <w:szCs w:val="24"/>
              </w:rPr>
              <w:t>July 2010</w:t>
            </w:r>
          </w:p>
        </w:tc>
        <w:tc>
          <w:tcPr>
            <w:tcW w:w="1890" w:type="dxa"/>
          </w:tcPr>
          <w:p w:rsidR="00342726" w:rsidRPr="00B2607F" w:rsidRDefault="00342726" w:rsidP="00336904">
            <w:pPr>
              <w:rPr>
                <w:rFonts w:ascii="Times New Roman" w:hAnsi="Times New Roman" w:cs="Times New Roman"/>
                <w:sz w:val="24"/>
                <w:szCs w:val="24"/>
              </w:rPr>
            </w:pPr>
            <w:r>
              <w:rPr>
                <w:rFonts w:ascii="Times New Roman" w:hAnsi="Times New Roman" w:cs="Times New Roman"/>
                <w:sz w:val="24"/>
                <w:szCs w:val="24"/>
              </w:rPr>
              <w:t>RSAW WG</w:t>
            </w:r>
          </w:p>
        </w:tc>
        <w:tc>
          <w:tcPr>
            <w:tcW w:w="6228" w:type="dxa"/>
          </w:tcPr>
          <w:p w:rsidR="00342726" w:rsidRPr="00B2607F" w:rsidRDefault="00342726" w:rsidP="00336904">
            <w:pPr>
              <w:rPr>
                <w:rFonts w:ascii="Times New Roman" w:hAnsi="Times New Roman" w:cs="Times New Roman"/>
                <w:sz w:val="24"/>
                <w:szCs w:val="24"/>
              </w:rPr>
            </w:pPr>
            <w:r>
              <w:rPr>
                <w:rFonts w:ascii="Times New Roman" w:hAnsi="Times New Roman" w:cs="Times New Roman"/>
                <w:sz w:val="24"/>
                <w:szCs w:val="24"/>
              </w:rPr>
              <w:t>New Document</w:t>
            </w:r>
            <w:r w:rsidR="00884825">
              <w:rPr>
                <w:rFonts w:ascii="Times New Roman" w:hAnsi="Times New Roman" w:cs="Times New Roman"/>
                <w:sz w:val="24"/>
                <w:szCs w:val="24"/>
              </w:rPr>
              <w:t>.</w:t>
            </w:r>
          </w:p>
        </w:tc>
      </w:tr>
      <w:tr w:rsidR="00342726" w:rsidRPr="00B2607F" w:rsidTr="00884825">
        <w:tc>
          <w:tcPr>
            <w:tcW w:w="1016" w:type="dxa"/>
          </w:tcPr>
          <w:p w:rsidR="00342726" w:rsidRPr="00B2607F" w:rsidRDefault="009B1A23" w:rsidP="00336904">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342726" w:rsidRPr="00B2607F" w:rsidRDefault="009B1A23" w:rsidP="00336904">
            <w:pPr>
              <w:rPr>
                <w:rFonts w:ascii="Times New Roman" w:hAnsi="Times New Roman" w:cs="Times New Roman"/>
                <w:sz w:val="24"/>
                <w:szCs w:val="24"/>
              </w:rPr>
            </w:pPr>
            <w:r>
              <w:rPr>
                <w:rFonts w:ascii="Times New Roman" w:hAnsi="Times New Roman" w:cs="Times New Roman"/>
                <w:sz w:val="24"/>
                <w:szCs w:val="24"/>
              </w:rPr>
              <w:t>September 2010</w:t>
            </w:r>
          </w:p>
        </w:tc>
        <w:tc>
          <w:tcPr>
            <w:tcW w:w="1890" w:type="dxa"/>
          </w:tcPr>
          <w:p w:rsidR="00342726" w:rsidRPr="00B2607F" w:rsidRDefault="009B1A23" w:rsidP="00336904">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6228" w:type="dxa"/>
          </w:tcPr>
          <w:p w:rsidR="00342726" w:rsidRPr="00B2607F" w:rsidRDefault="009B1A23" w:rsidP="00336904">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342726" w:rsidRPr="00B2607F" w:rsidTr="00884825">
        <w:tc>
          <w:tcPr>
            <w:tcW w:w="1016" w:type="dxa"/>
          </w:tcPr>
          <w:p w:rsidR="00342726" w:rsidRPr="00B2607F" w:rsidRDefault="00B53833" w:rsidP="00336904">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342726" w:rsidRPr="00B2607F" w:rsidRDefault="00B53833" w:rsidP="00336904">
            <w:pPr>
              <w:rPr>
                <w:rFonts w:ascii="Times New Roman" w:hAnsi="Times New Roman" w:cs="Times New Roman"/>
                <w:sz w:val="24"/>
                <w:szCs w:val="24"/>
              </w:rPr>
            </w:pPr>
            <w:r>
              <w:rPr>
                <w:rFonts w:ascii="Times New Roman" w:hAnsi="Times New Roman" w:cs="Times New Roman"/>
                <w:sz w:val="24"/>
                <w:szCs w:val="24"/>
              </w:rPr>
              <w:t>Dec</w:t>
            </w:r>
            <w:r w:rsidR="00884825">
              <w:rPr>
                <w:rFonts w:ascii="Times New Roman" w:hAnsi="Times New Roman" w:cs="Times New Roman"/>
                <w:sz w:val="24"/>
                <w:szCs w:val="24"/>
              </w:rPr>
              <w:t>ember</w:t>
            </w:r>
            <w:r>
              <w:rPr>
                <w:rFonts w:ascii="Times New Roman" w:hAnsi="Times New Roman" w:cs="Times New Roman"/>
                <w:sz w:val="24"/>
                <w:szCs w:val="24"/>
              </w:rPr>
              <w:t xml:space="preserve"> 2010</w:t>
            </w:r>
          </w:p>
        </w:tc>
        <w:tc>
          <w:tcPr>
            <w:tcW w:w="1890" w:type="dxa"/>
          </w:tcPr>
          <w:p w:rsidR="00342726" w:rsidRPr="00B2607F" w:rsidRDefault="00B53833" w:rsidP="00336904">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rsidR="00342726" w:rsidRPr="00B2607F" w:rsidRDefault="00B53833" w:rsidP="00336904">
            <w:pPr>
              <w:rPr>
                <w:rFonts w:ascii="Times New Roman" w:hAnsi="Times New Roman" w:cs="Times New Roman"/>
                <w:sz w:val="24"/>
                <w:szCs w:val="24"/>
              </w:rPr>
            </w:pPr>
            <w:r>
              <w:rPr>
                <w:rFonts w:ascii="Times New Roman" w:hAnsi="Times New Roman" w:cs="Times New Roman"/>
                <w:sz w:val="24"/>
                <w:szCs w:val="24"/>
              </w:rPr>
              <w:t xml:space="preserve">Revised Findings </w:t>
            </w:r>
            <w:r w:rsidR="00884825">
              <w:rPr>
                <w:rFonts w:ascii="Times New Roman" w:hAnsi="Times New Roman" w:cs="Times New Roman"/>
                <w:sz w:val="24"/>
                <w:szCs w:val="24"/>
              </w:rPr>
              <w:t>Table</w:t>
            </w:r>
            <w:r>
              <w:rPr>
                <w:rFonts w:ascii="Times New Roman" w:hAnsi="Times New Roman" w:cs="Times New Roman"/>
                <w:sz w:val="24"/>
                <w:szCs w:val="24"/>
              </w:rPr>
              <w:t xml:space="preserve"> modified Supporting Evidence tables</w:t>
            </w:r>
            <w:r w:rsidR="00884825">
              <w:rPr>
                <w:rFonts w:ascii="Times New Roman" w:hAnsi="Times New Roman" w:cs="Times New Roman"/>
                <w:sz w:val="24"/>
                <w:szCs w:val="24"/>
              </w:rPr>
              <w:t>.</w:t>
            </w:r>
          </w:p>
        </w:tc>
      </w:tr>
      <w:tr w:rsidR="00884825" w:rsidTr="00884825">
        <w:tc>
          <w:tcPr>
            <w:tcW w:w="1016" w:type="dxa"/>
            <w:tcBorders>
              <w:top w:val="single" w:sz="4" w:space="0" w:color="000000"/>
              <w:left w:val="single" w:sz="4" w:space="0" w:color="000000"/>
              <w:bottom w:val="single" w:sz="4" w:space="0" w:color="000000"/>
              <w:right w:val="single" w:sz="4" w:space="0" w:color="000000"/>
            </w:tcBorders>
          </w:tcPr>
          <w:p w:rsidR="00884825" w:rsidRDefault="00884825" w:rsidP="002D1AD7">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884825" w:rsidRDefault="00884825" w:rsidP="002D1AD7">
            <w:pPr>
              <w:rPr>
                <w:rFonts w:ascii="Times New Roman" w:hAnsi="Times New Roman" w:cs="Times New Roman"/>
                <w:sz w:val="24"/>
                <w:szCs w:val="24"/>
              </w:rPr>
            </w:pPr>
            <w:r>
              <w:rPr>
                <w:rFonts w:ascii="Times New Roman" w:hAnsi="Times New Roman" w:cs="Times New Roman"/>
                <w:sz w:val="24"/>
                <w:szCs w:val="24"/>
              </w:rPr>
              <w:t>January 2011</w:t>
            </w:r>
          </w:p>
        </w:tc>
        <w:tc>
          <w:tcPr>
            <w:tcW w:w="1890" w:type="dxa"/>
            <w:tcBorders>
              <w:top w:val="single" w:sz="4" w:space="0" w:color="000000"/>
              <w:left w:val="single" w:sz="4" w:space="0" w:color="000000"/>
              <w:bottom w:val="single" w:sz="4" w:space="0" w:color="000000"/>
              <w:right w:val="single" w:sz="4" w:space="0" w:color="000000"/>
            </w:tcBorders>
          </w:tcPr>
          <w:p w:rsidR="00884825" w:rsidRDefault="00884825" w:rsidP="002D1AD7">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rsidR="00884825" w:rsidRDefault="00884825" w:rsidP="002D1AD7">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342726" w:rsidRPr="00B2607F" w:rsidTr="00884825">
        <w:tc>
          <w:tcPr>
            <w:tcW w:w="1016" w:type="dxa"/>
          </w:tcPr>
          <w:p w:rsidR="00342726" w:rsidRPr="00B2607F" w:rsidRDefault="009F603C" w:rsidP="00336904">
            <w:pPr>
              <w:jc w:val="center"/>
              <w:rPr>
                <w:rFonts w:ascii="Times New Roman" w:hAnsi="Times New Roman" w:cs="Times New Roman"/>
                <w:sz w:val="24"/>
                <w:szCs w:val="24"/>
              </w:rPr>
            </w:pPr>
            <w:r>
              <w:rPr>
                <w:rFonts w:ascii="Times New Roman" w:hAnsi="Times New Roman" w:cs="Times New Roman"/>
                <w:sz w:val="24"/>
                <w:szCs w:val="24"/>
              </w:rPr>
              <w:t>1.1</w:t>
            </w:r>
          </w:p>
        </w:tc>
        <w:tc>
          <w:tcPr>
            <w:tcW w:w="1882" w:type="dxa"/>
          </w:tcPr>
          <w:p w:rsidR="00342726" w:rsidRPr="00B2607F" w:rsidRDefault="006C3F33" w:rsidP="00336904">
            <w:pPr>
              <w:rPr>
                <w:rFonts w:ascii="Times New Roman" w:hAnsi="Times New Roman" w:cs="Times New Roman"/>
                <w:sz w:val="24"/>
                <w:szCs w:val="24"/>
              </w:rPr>
            </w:pPr>
            <w:r>
              <w:rPr>
                <w:rFonts w:ascii="Times New Roman" w:hAnsi="Times New Roman" w:cs="Times New Roman"/>
                <w:sz w:val="24"/>
                <w:szCs w:val="24"/>
              </w:rPr>
              <w:t>October 2013</w:t>
            </w:r>
          </w:p>
        </w:tc>
        <w:tc>
          <w:tcPr>
            <w:tcW w:w="1890" w:type="dxa"/>
          </w:tcPr>
          <w:p w:rsidR="00342726" w:rsidRPr="00B2607F" w:rsidRDefault="009F603C" w:rsidP="00336904">
            <w:pPr>
              <w:rPr>
                <w:rFonts w:ascii="Times New Roman" w:hAnsi="Times New Roman" w:cs="Times New Roman"/>
                <w:sz w:val="24"/>
                <w:szCs w:val="24"/>
              </w:rPr>
            </w:pPr>
            <w:r>
              <w:rPr>
                <w:rFonts w:ascii="Times New Roman" w:hAnsi="Times New Roman" w:cs="Times New Roman"/>
                <w:sz w:val="24"/>
                <w:szCs w:val="24"/>
              </w:rPr>
              <w:t>RSAW TF</w:t>
            </w:r>
          </w:p>
        </w:tc>
        <w:tc>
          <w:tcPr>
            <w:tcW w:w="6228" w:type="dxa"/>
          </w:tcPr>
          <w:p w:rsidR="00342726" w:rsidRPr="00B2607F" w:rsidRDefault="009F603C" w:rsidP="002A4F3E">
            <w:pPr>
              <w:rPr>
                <w:rFonts w:ascii="Times New Roman" w:hAnsi="Times New Roman" w:cs="Times New Roman"/>
                <w:sz w:val="24"/>
                <w:szCs w:val="24"/>
              </w:rPr>
            </w:pPr>
            <w:r>
              <w:rPr>
                <w:rFonts w:ascii="Times New Roman" w:hAnsi="Times New Roman" w:cs="Times New Roman"/>
                <w:sz w:val="24"/>
                <w:szCs w:val="24"/>
              </w:rPr>
              <w:t>Updated</w:t>
            </w:r>
            <w:r w:rsidR="002A4F3E">
              <w:rPr>
                <w:rFonts w:ascii="Times New Roman" w:hAnsi="Times New Roman" w:cs="Times New Roman"/>
                <w:sz w:val="24"/>
                <w:szCs w:val="24"/>
              </w:rPr>
              <w:t xml:space="preserve"> Compliance Assessment Approaches for R1, R3, and R5 based on</w:t>
            </w:r>
            <w:r>
              <w:rPr>
                <w:rFonts w:ascii="Times New Roman" w:hAnsi="Times New Roman" w:cs="Times New Roman"/>
                <w:sz w:val="24"/>
                <w:szCs w:val="24"/>
              </w:rPr>
              <w:t xml:space="preserve"> Version 2 of Reliability Standard.</w:t>
            </w:r>
            <w:r w:rsidR="002A4F3E">
              <w:rPr>
                <w:rFonts w:ascii="Times New Roman" w:hAnsi="Times New Roman" w:cs="Times New Roman"/>
                <w:sz w:val="24"/>
                <w:szCs w:val="24"/>
              </w:rPr>
              <w:t xml:space="preserve"> Other</w:t>
            </w:r>
            <w:r w:rsidR="006C3F33">
              <w:rPr>
                <w:rFonts w:ascii="Times New Roman" w:hAnsi="Times New Roman" w:cs="Times New Roman"/>
                <w:sz w:val="24"/>
                <w:szCs w:val="24"/>
              </w:rPr>
              <w:t xml:space="preserve"> minor</w:t>
            </w:r>
            <w:r w:rsidR="002A4F3E">
              <w:rPr>
                <w:rFonts w:ascii="Times New Roman" w:hAnsi="Times New Roman" w:cs="Times New Roman"/>
                <w:sz w:val="24"/>
                <w:szCs w:val="24"/>
              </w:rPr>
              <w:t xml:space="preserve"> f</w:t>
            </w:r>
            <w:r w:rsidR="00003496">
              <w:rPr>
                <w:rFonts w:ascii="Times New Roman" w:hAnsi="Times New Roman" w:cs="Times New Roman"/>
                <w:sz w:val="24"/>
                <w:szCs w:val="24"/>
              </w:rPr>
              <w:t>ormat changes</w:t>
            </w:r>
            <w:r w:rsidR="002A4F3E">
              <w:rPr>
                <w:rFonts w:ascii="Times New Roman" w:hAnsi="Times New Roman" w:cs="Times New Roman"/>
                <w:sz w:val="24"/>
                <w:szCs w:val="24"/>
              </w:rPr>
              <w:t>.</w:t>
            </w:r>
          </w:p>
        </w:tc>
      </w:tr>
      <w:tr w:rsidR="00342726" w:rsidRPr="00B2607F" w:rsidTr="00884825">
        <w:tc>
          <w:tcPr>
            <w:tcW w:w="1016" w:type="dxa"/>
          </w:tcPr>
          <w:p w:rsidR="00342726" w:rsidRPr="00B2607F" w:rsidRDefault="00342726" w:rsidP="00336904">
            <w:pPr>
              <w:jc w:val="center"/>
              <w:rPr>
                <w:rFonts w:ascii="Times New Roman" w:hAnsi="Times New Roman" w:cs="Times New Roman"/>
                <w:sz w:val="24"/>
                <w:szCs w:val="24"/>
              </w:rPr>
            </w:pPr>
          </w:p>
        </w:tc>
        <w:tc>
          <w:tcPr>
            <w:tcW w:w="1882" w:type="dxa"/>
          </w:tcPr>
          <w:p w:rsidR="00342726" w:rsidRPr="00B2607F" w:rsidRDefault="00342726" w:rsidP="00336904">
            <w:pPr>
              <w:rPr>
                <w:rFonts w:ascii="Times New Roman" w:hAnsi="Times New Roman" w:cs="Times New Roman"/>
                <w:sz w:val="24"/>
                <w:szCs w:val="24"/>
              </w:rPr>
            </w:pPr>
          </w:p>
        </w:tc>
        <w:tc>
          <w:tcPr>
            <w:tcW w:w="1890" w:type="dxa"/>
          </w:tcPr>
          <w:p w:rsidR="00342726" w:rsidRPr="00B2607F" w:rsidRDefault="00342726" w:rsidP="00336904">
            <w:pPr>
              <w:rPr>
                <w:rFonts w:ascii="Times New Roman" w:hAnsi="Times New Roman" w:cs="Times New Roman"/>
                <w:sz w:val="24"/>
                <w:szCs w:val="24"/>
              </w:rPr>
            </w:pPr>
          </w:p>
        </w:tc>
        <w:tc>
          <w:tcPr>
            <w:tcW w:w="6228" w:type="dxa"/>
          </w:tcPr>
          <w:p w:rsidR="00342726" w:rsidRPr="00B2607F" w:rsidRDefault="00342726" w:rsidP="00336904">
            <w:pPr>
              <w:rPr>
                <w:rFonts w:ascii="Times New Roman" w:hAnsi="Times New Roman" w:cs="Times New Roman"/>
                <w:sz w:val="24"/>
                <w:szCs w:val="24"/>
              </w:rPr>
            </w:pPr>
          </w:p>
        </w:tc>
      </w:tr>
      <w:tr w:rsidR="00342726" w:rsidRPr="00B2607F" w:rsidTr="00884825">
        <w:tc>
          <w:tcPr>
            <w:tcW w:w="1016" w:type="dxa"/>
          </w:tcPr>
          <w:p w:rsidR="00342726" w:rsidRPr="00B2607F" w:rsidRDefault="00342726" w:rsidP="00336904">
            <w:pPr>
              <w:jc w:val="center"/>
              <w:rPr>
                <w:rFonts w:ascii="Times New Roman" w:hAnsi="Times New Roman" w:cs="Times New Roman"/>
                <w:sz w:val="24"/>
                <w:szCs w:val="24"/>
              </w:rPr>
            </w:pPr>
          </w:p>
        </w:tc>
        <w:tc>
          <w:tcPr>
            <w:tcW w:w="1882" w:type="dxa"/>
          </w:tcPr>
          <w:p w:rsidR="00342726" w:rsidRPr="00B2607F" w:rsidRDefault="00342726" w:rsidP="00336904">
            <w:pPr>
              <w:rPr>
                <w:rFonts w:ascii="Times New Roman" w:hAnsi="Times New Roman" w:cs="Times New Roman"/>
                <w:sz w:val="24"/>
                <w:szCs w:val="24"/>
              </w:rPr>
            </w:pPr>
          </w:p>
        </w:tc>
        <w:tc>
          <w:tcPr>
            <w:tcW w:w="1890" w:type="dxa"/>
          </w:tcPr>
          <w:p w:rsidR="00342726" w:rsidRPr="00B2607F" w:rsidRDefault="00342726" w:rsidP="00336904">
            <w:pPr>
              <w:rPr>
                <w:rFonts w:ascii="Times New Roman" w:hAnsi="Times New Roman" w:cs="Times New Roman"/>
                <w:sz w:val="24"/>
                <w:szCs w:val="24"/>
              </w:rPr>
            </w:pPr>
          </w:p>
        </w:tc>
        <w:tc>
          <w:tcPr>
            <w:tcW w:w="6228" w:type="dxa"/>
          </w:tcPr>
          <w:p w:rsidR="00342726" w:rsidRPr="00B2607F" w:rsidRDefault="00342726" w:rsidP="00336904">
            <w:pPr>
              <w:rPr>
                <w:rFonts w:ascii="Times New Roman" w:hAnsi="Times New Roman" w:cs="Times New Roman"/>
                <w:sz w:val="24"/>
                <w:szCs w:val="24"/>
              </w:rPr>
            </w:pPr>
          </w:p>
        </w:tc>
      </w:tr>
    </w:tbl>
    <w:p w:rsidR="00342726" w:rsidRPr="004550E5" w:rsidRDefault="00342726" w:rsidP="00342726">
      <w:pPr>
        <w:widowControl w:val="0"/>
        <w:spacing w:line="244" w:lineRule="exact"/>
        <w:rPr>
          <w:rFonts w:ascii="Times New Roman" w:hAnsi="Times New Roman" w:cs="Times New Roman"/>
          <w:sz w:val="24"/>
          <w:szCs w:val="24"/>
        </w:rPr>
      </w:pPr>
    </w:p>
    <w:p w:rsidR="00342726" w:rsidRPr="007B5AA7" w:rsidRDefault="00342726" w:rsidP="004C005C">
      <w:pPr>
        <w:widowControl w:val="0"/>
        <w:tabs>
          <w:tab w:val="left" w:pos="60"/>
        </w:tabs>
        <w:spacing w:line="200" w:lineRule="exact"/>
        <w:rPr>
          <w:rFonts w:ascii="Times New Roman" w:hAnsi="Times New Roman" w:cs="Times New Roman"/>
          <w:sz w:val="24"/>
          <w:szCs w:val="24"/>
        </w:rPr>
      </w:pPr>
    </w:p>
    <w:sectPr w:rsidR="00342726" w:rsidRPr="007B5AA7" w:rsidSect="002215C4">
      <w:headerReference w:type="default" r:id="rId15"/>
      <w:footerReference w:type="default" r:id="rId16"/>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E0" w:rsidRDefault="00F537E0">
      <w:r>
        <w:separator/>
      </w:r>
    </w:p>
    <w:p w:rsidR="00F537E0" w:rsidRDefault="00F537E0"/>
  </w:endnote>
  <w:endnote w:type="continuationSeparator" w:id="0">
    <w:p w:rsidR="00F537E0" w:rsidRDefault="00F537E0">
      <w:r>
        <w:continuationSeparator/>
      </w:r>
    </w:p>
    <w:p w:rsidR="00F537E0" w:rsidRDefault="00F53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5C" w:rsidRPr="00945D21" w:rsidRDefault="00C2115C"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C2115C" w:rsidRPr="00945D21" w:rsidRDefault="00C2115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C2115C" w:rsidRPr="00945D21" w:rsidRDefault="00C2115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C2115C" w:rsidRPr="00945D21" w:rsidRDefault="00C2115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C2115C" w:rsidRDefault="00C2115C"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C2115C" w:rsidRDefault="00C2115C"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RSAW_MOD-028-2_2013_v1.1</w:t>
    </w:r>
  </w:p>
  <w:p w:rsidR="00C2115C" w:rsidRPr="00945D21" w:rsidRDefault="00C2115C"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w:t>
    </w:r>
    <w:r w:rsidR="006C3F33">
      <w:rPr>
        <w:rFonts w:ascii="Times New Roman" w:hAnsi="Times New Roman" w:cs="Times New Roman"/>
        <w:color w:val="000000"/>
        <w:sz w:val="18"/>
        <w:szCs w:val="18"/>
      </w:rPr>
      <w:t xml:space="preserve"> October</w:t>
    </w:r>
    <w:r>
      <w:rPr>
        <w:rFonts w:ascii="Times New Roman" w:hAnsi="Times New Roman" w:cs="Times New Roman"/>
        <w:color w:val="000000"/>
        <w:sz w:val="18"/>
        <w:szCs w:val="18"/>
      </w:rPr>
      <w:t xml:space="preserve"> 2013</w:t>
    </w:r>
  </w:p>
  <w:p w:rsidR="00C2115C" w:rsidRPr="00945D21" w:rsidRDefault="009B66EC"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00C2115C"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D87126">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C2115C" w:rsidRDefault="00C211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E0" w:rsidRDefault="00F537E0">
      <w:r>
        <w:separator/>
      </w:r>
    </w:p>
    <w:p w:rsidR="00F537E0" w:rsidRDefault="00F537E0"/>
  </w:footnote>
  <w:footnote w:type="continuationSeparator" w:id="0">
    <w:p w:rsidR="00F537E0" w:rsidRDefault="00F537E0">
      <w:r>
        <w:continuationSeparator/>
      </w:r>
    </w:p>
    <w:p w:rsidR="00F537E0" w:rsidRDefault="00F537E0"/>
  </w:footnote>
  <w:footnote w:id="1">
    <w:p w:rsidR="00C2115C" w:rsidRDefault="00C2115C" w:rsidP="00E24E4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5C" w:rsidRDefault="00C2115C">
    <w:pPr>
      <w:widowControl w:val="0"/>
      <w:spacing w:line="240" w:lineRule="exact"/>
      <w:rPr>
        <w:rFonts w:cs="Times New Roman"/>
      </w:rPr>
    </w:pPr>
  </w:p>
  <w:p w:rsidR="00C2115C" w:rsidRPr="006813F3" w:rsidRDefault="00C2115C" w:rsidP="009B1A2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r w:rsidR="002F4538">
      <w:rPr>
        <w:rFonts w:ascii="Times New Roman" w:hAnsi="Times New Roman" w:cs="Times New Roman"/>
        <w:b/>
        <w:bCs/>
        <w:color w:val="003366"/>
        <w:sz w:val="28"/>
        <w:szCs w:val="28"/>
      </w:rPr>
      <w:t xml:space="preserve"> Template</w:t>
    </w:r>
  </w:p>
  <w:p w:rsidR="00C2115C" w:rsidRDefault="00C2115C">
    <w:pPr>
      <w:widowControl w:val="0"/>
      <w:spacing w:before="66"/>
      <w:rPr>
        <w:rFonts w:cs="Times New Roman"/>
      </w:rPr>
    </w:pPr>
    <w:r>
      <w:rPr>
        <w:rFonts w:cs="Times New Roman"/>
        <w:noProof/>
      </w:rPr>
      <w:drawing>
        <wp:inline distT="0" distB="0" distL="0" distR="0">
          <wp:extent cx="5960745" cy="34290"/>
          <wp:effectExtent l="19050" t="0" r="190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5960745" cy="34290"/>
                  </a:xfrm>
                  <a:prstGeom prst="rect">
                    <a:avLst/>
                  </a:prstGeom>
                  <a:noFill/>
                  <a:ln w="9525">
                    <a:noFill/>
                    <a:miter lim="800000"/>
                    <a:headEnd/>
                    <a:tailEnd/>
                  </a:ln>
                </pic:spPr>
              </pic:pic>
            </a:graphicData>
          </a:graphic>
        </wp:inline>
      </w:drawing>
    </w:r>
  </w:p>
  <w:p w:rsidR="00C2115C" w:rsidRDefault="00C2115C">
    <w:pPr>
      <w:widowControl w:val="0"/>
      <w:spacing w:line="248" w:lineRule="exact"/>
      <w:rPr>
        <w:rFonts w:cs="Times New Roman"/>
      </w:rPr>
    </w:pPr>
  </w:p>
  <w:p w:rsidR="00C2115C" w:rsidRDefault="00C21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6035B59"/>
    <w:multiLevelType w:val="hybridMultilevel"/>
    <w:tmpl w:val="632E3236"/>
    <w:lvl w:ilvl="0" w:tplc="CAACB606">
      <w:start w:val="1"/>
      <w:numFmt w:val="bullet"/>
      <w:lvlText w:val="-"/>
      <w:lvlJc w:val="left"/>
      <w:pPr>
        <w:tabs>
          <w:tab w:val="num" w:pos="2376"/>
        </w:tabs>
        <w:ind w:left="2376" w:hanging="360"/>
      </w:pPr>
      <w:rPr>
        <w:rFonts w:ascii="Courier New" w:hAnsi="Courier New" w:hint="default"/>
        <w:color w:val="auto"/>
      </w:rPr>
    </w:lvl>
    <w:lvl w:ilvl="1" w:tplc="CAACB606">
      <w:start w:val="1"/>
      <w:numFmt w:val="bullet"/>
      <w:lvlText w:val="-"/>
      <w:lvlJc w:val="left"/>
      <w:pPr>
        <w:tabs>
          <w:tab w:val="num" w:pos="2376"/>
        </w:tabs>
        <w:ind w:left="2376" w:hanging="360"/>
      </w:pPr>
      <w:rPr>
        <w:rFonts w:ascii="Courier New" w:hAnsi="Courier New" w:hint="default"/>
        <w:color w:val="auto"/>
      </w:r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
    <w:nsid w:val="0E2969E4"/>
    <w:multiLevelType w:val="hybridMultilevel"/>
    <w:tmpl w:val="1E2E517C"/>
    <w:lvl w:ilvl="0" w:tplc="DDDE1592">
      <w:numFmt w:val="bullet"/>
      <w:lvlText w:val="•"/>
      <w:lvlJc w:val="left"/>
      <w:pPr>
        <w:ind w:left="1440" w:hanging="360"/>
      </w:pPr>
      <w:rPr>
        <w:rFonts w:ascii="Arial" w:eastAsia="Times New Roman" w:hAnsi="Arial" w:cs="Arial" w:hint="default"/>
      </w:rPr>
    </w:lvl>
    <w:lvl w:ilvl="1" w:tplc="D21E6CB0" w:tentative="1">
      <w:start w:val="1"/>
      <w:numFmt w:val="bullet"/>
      <w:lvlText w:val="o"/>
      <w:lvlJc w:val="left"/>
      <w:pPr>
        <w:ind w:left="2160" w:hanging="360"/>
      </w:pPr>
      <w:rPr>
        <w:rFonts w:ascii="Courier New" w:hAnsi="Courier New" w:cs="Courier New" w:hint="default"/>
      </w:rPr>
    </w:lvl>
    <w:lvl w:ilvl="2" w:tplc="F564B73E" w:tentative="1">
      <w:start w:val="1"/>
      <w:numFmt w:val="bullet"/>
      <w:lvlText w:val=""/>
      <w:lvlJc w:val="left"/>
      <w:pPr>
        <w:ind w:left="2880" w:hanging="360"/>
      </w:pPr>
      <w:rPr>
        <w:rFonts w:ascii="Wingdings" w:hAnsi="Wingdings" w:hint="default"/>
      </w:rPr>
    </w:lvl>
    <w:lvl w:ilvl="3" w:tplc="70247B14" w:tentative="1">
      <w:start w:val="1"/>
      <w:numFmt w:val="bullet"/>
      <w:lvlText w:val=""/>
      <w:lvlJc w:val="left"/>
      <w:pPr>
        <w:ind w:left="3600" w:hanging="360"/>
      </w:pPr>
      <w:rPr>
        <w:rFonts w:ascii="Symbol" w:hAnsi="Symbol" w:hint="default"/>
      </w:rPr>
    </w:lvl>
    <w:lvl w:ilvl="4" w:tplc="0DE204F2" w:tentative="1">
      <w:start w:val="1"/>
      <w:numFmt w:val="bullet"/>
      <w:lvlText w:val="o"/>
      <w:lvlJc w:val="left"/>
      <w:pPr>
        <w:ind w:left="4320" w:hanging="360"/>
      </w:pPr>
      <w:rPr>
        <w:rFonts w:ascii="Courier New" w:hAnsi="Courier New" w:cs="Courier New" w:hint="default"/>
      </w:rPr>
    </w:lvl>
    <w:lvl w:ilvl="5" w:tplc="2166976A" w:tentative="1">
      <w:start w:val="1"/>
      <w:numFmt w:val="bullet"/>
      <w:lvlText w:val=""/>
      <w:lvlJc w:val="left"/>
      <w:pPr>
        <w:ind w:left="5040" w:hanging="360"/>
      </w:pPr>
      <w:rPr>
        <w:rFonts w:ascii="Wingdings" w:hAnsi="Wingdings" w:hint="default"/>
      </w:rPr>
    </w:lvl>
    <w:lvl w:ilvl="6" w:tplc="4A2E1A2A" w:tentative="1">
      <w:start w:val="1"/>
      <w:numFmt w:val="bullet"/>
      <w:lvlText w:val=""/>
      <w:lvlJc w:val="left"/>
      <w:pPr>
        <w:ind w:left="5760" w:hanging="360"/>
      </w:pPr>
      <w:rPr>
        <w:rFonts w:ascii="Symbol" w:hAnsi="Symbol" w:hint="default"/>
      </w:rPr>
    </w:lvl>
    <w:lvl w:ilvl="7" w:tplc="1F5A20AA" w:tentative="1">
      <w:start w:val="1"/>
      <w:numFmt w:val="bullet"/>
      <w:lvlText w:val="o"/>
      <w:lvlJc w:val="left"/>
      <w:pPr>
        <w:ind w:left="6480" w:hanging="360"/>
      </w:pPr>
      <w:rPr>
        <w:rFonts w:ascii="Courier New" w:hAnsi="Courier New" w:cs="Courier New" w:hint="default"/>
      </w:rPr>
    </w:lvl>
    <w:lvl w:ilvl="8" w:tplc="851629B8" w:tentative="1">
      <w:start w:val="1"/>
      <w:numFmt w:val="bullet"/>
      <w:lvlText w:val=""/>
      <w:lvlJc w:val="left"/>
      <w:pPr>
        <w:ind w:left="7200" w:hanging="360"/>
      </w:pPr>
      <w:rPr>
        <w:rFonts w:ascii="Wingdings" w:hAnsi="Wingdings" w:hint="default"/>
      </w:rPr>
    </w:lvl>
  </w:abstractNum>
  <w:abstractNum w:abstractNumId="3">
    <w:nsid w:val="204E7DDB"/>
    <w:multiLevelType w:val="hybridMultilevel"/>
    <w:tmpl w:val="26BC49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03329F"/>
    <w:multiLevelType w:val="multilevel"/>
    <w:tmpl w:val="C3CABAB2"/>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980"/>
        </w:tabs>
        <w:ind w:left="2844"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9">
    <w:nsid w:val="46207DB7"/>
    <w:multiLevelType w:val="multilevel"/>
    <w:tmpl w:val="553680AA"/>
    <w:lvl w:ilvl="0">
      <w:start w:val="1"/>
      <w:numFmt w:val="bullet"/>
      <w:lvlText w:val=""/>
      <w:lvlJc w:val="left"/>
      <w:pPr>
        <w:tabs>
          <w:tab w:val="num" w:pos="720"/>
        </w:tabs>
        <w:ind w:left="720" w:hanging="360"/>
      </w:pPr>
      <w:rPr>
        <w:rFonts w:ascii="Symbol" w:hAnsi="Symbol"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1.%2.%3.%4."/>
      <w:lvlJc w:val="left"/>
      <w:pPr>
        <w:tabs>
          <w:tab w:val="num" w:pos="2160"/>
        </w:tabs>
        <w:ind w:left="2088" w:hanging="648"/>
      </w:pPr>
      <w:rPr>
        <w:rFonts w:hint="default"/>
        <w:b/>
        <w:i w:val="0"/>
        <w:sz w:val="24"/>
      </w:rPr>
    </w:lvl>
    <w:lvl w:ilvl="4">
      <w:start w:val="1"/>
      <w:numFmt w:val="decimal"/>
      <w:lvlText w:val="R%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480D4EC2"/>
    <w:multiLevelType w:val="multilevel"/>
    <w:tmpl w:val="7FA8F41E"/>
    <w:lvl w:ilvl="0">
      <w:start w:val="1"/>
      <w:numFmt w:val="decimal"/>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bullet"/>
      <w:pStyle w:val="ListBullet2"/>
      <w:lvlText w:val="-"/>
      <w:lvlJc w:val="left"/>
      <w:pPr>
        <w:tabs>
          <w:tab w:val="num" w:pos="2088"/>
        </w:tabs>
        <w:ind w:left="2088" w:hanging="360"/>
      </w:pPr>
      <w:rPr>
        <w:rFonts w:ascii="Courier New" w:hAnsi="Courier New" w:hint="default"/>
        <w:b/>
        <w:i w:val="0"/>
        <w:color w:val="auto"/>
        <w:sz w:val="24"/>
        <w:szCs w:val="22"/>
      </w:rPr>
    </w:lvl>
    <w:lvl w:ilvl="3">
      <w:start w:val="1"/>
      <w:numFmt w:val="decimal"/>
      <w:lvlText w:val="R%1.%2.%3.%4."/>
      <w:lvlJc w:val="left"/>
      <w:pPr>
        <w:tabs>
          <w:tab w:val="num" w:pos="2160"/>
        </w:tabs>
        <w:ind w:left="2088" w:hanging="648"/>
      </w:pPr>
      <w:rPr>
        <w:rFonts w:hint="default"/>
        <w:b/>
        <w:i w:val="0"/>
        <w:sz w:val="24"/>
      </w:rPr>
    </w:lvl>
    <w:lvl w:ilvl="4">
      <w:start w:val="1"/>
      <w:numFmt w:val="decimal"/>
      <w:lvlText w:val="R%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67D07228"/>
    <w:multiLevelType w:val="hybridMultilevel"/>
    <w:tmpl w:val="620CBECE"/>
    <w:lvl w:ilvl="0" w:tplc="FFFFFFFF">
      <w:start w:val="1"/>
      <w:numFmt w:val="bullet"/>
      <w:lvlText w:val="-"/>
      <w:lvlJc w:val="left"/>
      <w:pPr>
        <w:tabs>
          <w:tab w:val="num" w:pos="2376"/>
        </w:tabs>
        <w:ind w:left="2376" w:hanging="360"/>
      </w:pPr>
      <w:rPr>
        <w:rFonts w:ascii="Courier New" w:hAnsi="Courier New" w:hint="default"/>
        <w:color w:val="auto"/>
      </w:rPr>
    </w:lvl>
    <w:lvl w:ilvl="1" w:tplc="FFFFFFFF">
      <w:start w:val="1"/>
      <w:numFmt w:val="bullet"/>
      <w:lvlText w:val="-"/>
      <w:lvlJc w:val="left"/>
      <w:pPr>
        <w:tabs>
          <w:tab w:val="num" w:pos="2376"/>
        </w:tabs>
        <w:ind w:left="2376" w:hanging="360"/>
      </w:pPr>
      <w:rPr>
        <w:rFonts w:ascii="Courier New" w:hAnsi="Courier New" w:hint="default"/>
        <w:color w:val="auto"/>
      </w:rPr>
    </w:lvl>
    <w:lvl w:ilvl="2" w:tplc="FFFFFFFF" w:tentative="1">
      <w:start w:val="1"/>
      <w:numFmt w:val="lowerRoman"/>
      <w:lvlText w:val="%3."/>
      <w:lvlJc w:val="right"/>
      <w:pPr>
        <w:tabs>
          <w:tab w:val="num" w:pos="3096"/>
        </w:tabs>
        <w:ind w:left="3096" w:hanging="180"/>
      </w:pPr>
    </w:lvl>
    <w:lvl w:ilvl="3" w:tplc="FFFFFFFF" w:tentative="1">
      <w:start w:val="1"/>
      <w:numFmt w:val="decimal"/>
      <w:lvlText w:val="%4."/>
      <w:lvlJc w:val="left"/>
      <w:pPr>
        <w:tabs>
          <w:tab w:val="num" w:pos="3816"/>
        </w:tabs>
        <w:ind w:left="3816" w:hanging="360"/>
      </w:pPr>
    </w:lvl>
    <w:lvl w:ilvl="4" w:tplc="FFFFFFFF" w:tentative="1">
      <w:start w:val="1"/>
      <w:numFmt w:val="lowerLetter"/>
      <w:lvlText w:val="%5."/>
      <w:lvlJc w:val="left"/>
      <w:pPr>
        <w:tabs>
          <w:tab w:val="num" w:pos="4536"/>
        </w:tabs>
        <w:ind w:left="4536" w:hanging="360"/>
      </w:pPr>
    </w:lvl>
    <w:lvl w:ilvl="5" w:tplc="FFFFFFFF" w:tentative="1">
      <w:start w:val="1"/>
      <w:numFmt w:val="lowerRoman"/>
      <w:lvlText w:val="%6."/>
      <w:lvlJc w:val="right"/>
      <w:pPr>
        <w:tabs>
          <w:tab w:val="num" w:pos="5256"/>
        </w:tabs>
        <w:ind w:left="5256" w:hanging="180"/>
      </w:pPr>
    </w:lvl>
    <w:lvl w:ilvl="6" w:tplc="FFFFFFFF" w:tentative="1">
      <w:start w:val="1"/>
      <w:numFmt w:val="decimal"/>
      <w:lvlText w:val="%7."/>
      <w:lvlJc w:val="left"/>
      <w:pPr>
        <w:tabs>
          <w:tab w:val="num" w:pos="5976"/>
        </w:tabs>
        <w:ind w:left="5976" w:hanging="360"/>
      </w:pPr>
    </w:lvl>
    <w:lvl w:ilvl="7" w:tplc="FFFFFFFF" w:tentative="1">
      <w:start w:val="1"/>
      <w:numFmt w:val="lowerLetter"/>
      <w:lvlText w:val="%8."/>
      <w:lvlJc w:val="left"/>
      <w:pPr>
        <w:tabs>
          <w:tab w:val="num" w:pos="6696"/>
        </w:tabs>
        <w:ind w:left="6696" w:hanging="360"/>
      </w:pPr>
    </w:lvl>
    <w:lvl w:ilvl="8" w:tplc="FFFFFFFF" w:tentative="1">
      <w:start w:val="1"/>
      <w:numFmt w:val="lowerRoman"/>
      <w:lvlText w:val="%9."/>
      <w:lvlJc w:val="right"/>
      <w:pPr>
        <w:tabs>
          <w:tab w:val="num" w:pos="7416"/>
        </w:tabs>
        <w:ind w:left="7416" w:hanging="180"/>
      </w:pPr>
    </w:lvl>
  </w:abstractNum>
  <w:abstractNum w:abstractNumId="12">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6"/>
  </w:num>
  <w:num w:numId="5">
    <w:abstractNumId w:val="8"/>
  </w:num>
  <w:num w:numId="6">
    <w:abstractNumId w:val="0"/>
  </w:num>
  <w:num w:numId="7">
    <w:abstractNumId w:val="7"/>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1"/>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F5A9B"/>
    <w:rsid w:val="00001BFE"/>
    <w:rsid w:val="00003496"/>
    <w:rsid w:val="00003D69"/>
    <w:rsid w:val="00006854"/>
    <w:rsid w:val="00032186"/>
    <w:rsid w:val="0005386C"/>
    <w:rsid w:val="00063123"/>
    <w:rsid w:val="000970FA"/>
    <w:rsid w:val="000A1934"/>
    <w:rsid w:val="000C264F"/>
    <w:rsid w:val="000D21D3"/>
    <w:rsid w:val="000D70B8"/>
    <w:rsid w:val="000F5A9B"/>
    <w:rsid w:val="0011459C"/>
    <w:rsid w:val="00115658"/>
    <w:rsid w:val="00116325"/>
    <w:rsid w:val="00125D9B"/>
    <w:rsid w:val="00126A1E"/>
    <w:rsid w:val="0014121C"/>
    <w:rsid w:val="001506C6"/>
    <w:rsid w:val="0015310F"/>
    <w:rsid w:val="00171169"/>
    <w:rsid w:val="001B5272"/>
    <w:rsid w:val="001B56E7"/>
    <w:rsid w:val="001D0C8A"/>
    <w:rsid w:val="001D1917"/>
    <w:rsid w:val="001E562F"/>
    <w:rsid w:val="001E65B6"/>
    <w:rsid w:val="001E693D"/>
    <w:rsid w:val="001F15A2"/>
    <w:rsid w:val="001F3490"/>
    <w:rsid w:val="001F467C"/>
    <w:rsid w:val="001F7340"/>
    <w:rsid w:val="001F76D2"/>
    <w:rsid w:val="0020112E"/>
    <w:rsid w:val="00206A3F"/>
    <w:rsid w:val="002215C4"/>
    <w:rsid w:val="00231A6F"/>
    <w:rsid w:val="00246C3A"/>
    <w:rsid w:val="0026256D"/>
    <w:rsid w:val="002724D7"/>
    <w:rsid w:val="0028242C"/>
    <w:rsid w:val="00296D28"/>
    <w:rsid w:val="002A36D5"/>
    <w:rsid w:val="002A4F3E"/>
    <w:rsid w:val="002A4F3F"/>
    <w:rsid w:val="002B3BBC"/>
    <w:rsid w:val="002B6766"/>
    <w:rsid w:val="002D1AD7"/>
    <w:rsid w:val="002D1C0A"/>
    <w:rsid w:val="002D436E"/>
    <w:rsid w:val="002D48D9"/>
    <w:rsid w:val="002D7E58"/>
    <w:rsid w:val="002E6260"/>
    <w:rsid w:val="002E66FF"/>
    <w:rsid w:val="002E7223"/>
    <w:rsid w:val="002F248A"/>
    <w:rsid w:val="002F4538"/>
    <w:rsid w:val="0031053B"/>
    <w:rsid w:val="00321726"/>
    <w:rsid w:val="003231ED"/>
    <w:rsid w:val="00336904"/>
    <w:rsid w:val="00337C39"/>
    <w:rsid w:val="00342726"/>
    <w:rsid w:val="00343273"/>
    <w:rsid w:val="003470C7"/>
    <w:rsid w:val="00347B9A"/>
    <w:rsid w:val="003512AC"/>
    <w:rsid w:val="00365010"/>
    <w:rsid w:val="003731D4"/>
    <w:rsid w:val="00382ACF"/>
    <w:rsid w:val="00383B95"/>
    <w:rsid w:val="00386419"/>
    <w:rsid w:val="00391649"/>
    <w:rsid w:val="003A271F"/>
    <w:rsid w:val="003B60C5"/>
    <w:rsid w:val="003B705F"/>
    <w:rsid w:val="003B78F8"/>
    <w:rsid w:val="003D2BF9"/>
    <w:rsid w:val="003F0E84"/>
    <w:rsid w:val="00415891"/>
    <w:rsid w:val="00442E41"/>
    <w:rsid w:val="0049548F"/>
    <w:rsid w:val="00497072"/>
    <w:rsid w:val="004A7725"/>
    <w:rsid w:val="004A7C99"/>
    <w:rsid w:val="004C005C"/>
    <w:rsid w:val="004C2E5D"/>
    <w:rsid w:val="004C38F5"/>
    <w:rsid w:val="00501D94"/>
    <w:rsid w:val="0051368D"/>
    <w:rsid w:val="0054305B"/>
    <w:rsid w:val="005436E7"/>
    <w:rsid w:val="00562F9B"/>
    <w:rsid w:val="00571FA4"/>
    <w:rsid w:val="00572FB2"/>
    <w:rsid w:val="00573027"/>
    <w:rsid w:val="0059234B"/>
    <w:rsid w:val="005928F8"/>
    <w:rsid w:val="00594B4D"/>
    <w:rsid w:val="00597D3C"/>
    <w:rsid w:val="005A53C3"/>
    <w:rsid w:val="005B2363"/>
    <w:rsid w:val="005B7019"/>
    <w:rsid w:val="005C42F1"/>
    <w:rsid w:val="005D3794"/>
    <w:rsid w:val="005E29C0"/>
    <w:rsid w:val="005E50A4"/>
    <w:rsid w:val="005E6AC4"/>
    <w:rsid w:val="005F55FD"/>
    <w:rsid w:val="00606BE4"/>
    <w:rsid w:val="00617AC1"/>
    <w:rsid w:val="00621FD4"/>
    <w:rsid w:val="006304FE"/>
    <w:rsid w:val="00635DEF"/>
    <w:rsid w:val="006520BE"/>
    <w:rsid w:val="00655F00"/>
    <w:rsid w:val="006860D2"/>
    <w:rsid w:val="00690474"/>
    <w:rsid w:val="006A0F5A"/>
    <w:rsid w:val="006C2B2D"/>
    <w:rsid w:val="006C3F33"/>
    <w:rsid w:val="006F5645"/>
    <w:rsid w:val="006F56CC"/>
    <w:rsid w:val="00703A5B"/>
    <w:rsid w:val="00706727"/>
    <w:rsid w:val="00710D7B"/>
    <w:rsid w:val="0071570E"/>
    <w:rsid w:val="00715E71"/>
    <w:rsid w:val="007432A8"/>
    <w:rsid w:val="0074657F"/>
    <w:rsid w:val="00753320"/>
    <w:rsid w:val="00770E9A"/>
    <w:rsid w:val="00792672"/>
    <w:rsid w:val="007B5AA7"/>
    <w:rsid w:val="007C091E"/>
    <w:rsid w:val="007D57DE"/>
    <w:rsid w:val="007D7666"/>
    <w:rsid w:val="007D7CE7"/>
    <w:rsid w:val="007E2DFA"/>
    <w:rsid w:val="007E7013"/>
    <w:rsid w:val="00803DFD"/>
    <w:rsid w:val="008124A2"/>
    <w:rsid w:val="0082119E"/>
    <w:rsid w:val="008354A7"/>
    <w:rsid w:val="008366C5"/>
    <w:rsid w:val="00843AC4"/>
    <w:rsid w:val="00863721"/>
    <w:rsid w:val="00872855"/>
    <w:rsid w:val="008737EE"/>
    <w:rsid w:val="008751C8"/>
    <w:rsid w:val="00875EC6"/>
    <w:rsid w:val="008805C1"/>
    <w:rsid w:val="00883445"/>
    <w:rsid w:val="00884825"/>
    <w:rsid w:val="00894F21"/>
    <w:rsid w:val="00896D1B"/>
    <w:rsid w:val="008A13C8"/>
    <w:rsid w:val="008B3FBA"/>
    <w:rsid w:val="008C462E"/>
    <w:rsid w:val="008E7145"/>
    <w:rsid w:val="008E7CBF"/>
    <w:rsid w:val="00911E30"/>
    <w:rsid w:val="00912C26"/>
    <w:rsid w:val="00914A02"/>
    <w:rsid w:val="00920BB5"/>
    <w:rsid w:val="00931D2B"/>
    <w:rsid w:val="0094240A"/>
    <w:rsid w:val="00945D21"/>
    <w:rsid w:val="00945FAD"/>
    <w:rsid w:val="00947550"/>
    <w:rsid w:val="00956CF6"/>
    <w:rsid w:val="00960DED"/>
    <w:rsid w:val="00984472"/>
    <w:rsid w:val="00986BD2"/>
    <w:rsid w:val="009A4370"/>
    <w:rsid w:val="009A5FA2"/>
    <w:rsid w:val="009B1A23"/>
    <w:rsid w:val="009B66EC"/>
    <w:rsid w:val="009C6C7C"/>
    <w:rsid w:val="009E1EDE"/>
    <w:rsid w:val="009E5FBF"/>
    <w:rsid w:val="009E6126"/>
    <w:rsid w:val="009F494F"/>
    <w:rsid w:val="009F603C"/>
    <w:rsid w:val="00A14DD4"/>
    <w:rsid w:val="00A154A7"/>
    <w:rsid w:val="00A26D5E"/>
    <w:rsid w:val="00A3464C"/>
    <w:rsid w:val="00A37733"/>
    <w:rsid w:val="00A52681"/>
    <w:rsid w:val="00A74BB4"/>
    <w:rsid w:val="00A83961"/>
    <w:rsid w:val="00A95CC4"/>
    <w:rsid w:val="00AC259B"/>
    <w:rsid w:val="00AE29E8"/>
    <w:rsid w:val="00AE6A2C"/>
    <w:rsid w:val="00AF0F6B"/>
    <w:rsid w:val="00AF339F"/>
    <w:rsid w:val="00B060A0"/>
    <w:rsid w:val="00B320B2"/>
    <w:rsid w:val="00B44CD0"/>
    <w:rsid w:val="00B45856"/>
    <w:rsid w:val="00B475B3"/>
    <w:rsid w:val="00B53833"/>
    <w:rsid w:val="00B862DD"/>
    <w:rsid w:val="00B9113F"/>
    <w:rsid w:val="00BB7AEC"/>
    <w:rsid w:val="00BC3724"/>
    <w:rsid w:val="00BC4B46"/>
    <w:rsid w:val="00BC5D9B"/>
    <w:rsid w:val="00BE7749"/>
    <w:rsid w:val="00BF3B2C"/>
    <w:rsid w:val="00BF414B"/>
    <w:rsid w:val="00C05632"/>
    <w:rsid w:val="00C2115C"/>
    <w:rsid w:val="00C42373"/>
    <w:rsid w:val="00C4478B"/>
    <w:rsid w:val="00C53536"/>
    <w:rsid w:val="00C5582A"/>
    <w:rsid w:val="00C70356"/>
    <w:rsid w:val="00C96948"/>
    <w:rsid w:val="00CA2126"/>
    <w:rsid w:val="00CB4C26"/>
    <w:rsid w:val="00CD0DCC"/>
    <w:rsid w:val="00CD71C0"/>
    <w:rsid w:val="00CE4441"/>
    <w:rsid w:val="00CE5A65"/>
    <w:rsid w:val="00D10BE5"/>
    <w:rsid w:val="00D2641B"/>
    <w:rsid w:val="00D308DB"/>
    <w:rsid w:val="00D633AB"/>
    <w:rsid w:val="00D70EFD"/>
    <w:rsid w:val="00D82909"/>
    <w:rsid w:val="00D84951"/>
    <w:rsid w:val="00D87126"/>
    <w:rsid w:val="00D927B4"/>
    <w:rsid w:val="00DB102F"/>
    <w:rsid w:val="00DB193C"/>
    <w:rsid w:val="00DB3438"/>
    <w:rsid w:val="00DB776B"/>
    <w:rsid w:val="00DB7ACC"/>
    <w:rsid w:val="00DC15B3"/>
    <w:rsid w:val="00DE0D99"/>
    <w:rsid w:val="00DE6326"/>
    <w:rsid w:val="00DF77F1"/>
    <w:rsid w:val="00E0573C"/>
    <w:rsid w:val="00E21A0E"/>
    <w:rsid w:val="00E22FDC"/>
    <w:rsid w:val="00E24B67"/>
    <w:rsid w:val="00E24E44"/>
    <w:rsid w:val="00E32DF4"/>
    <w:rsid w:val="00E35227"/>
    <w:rsid w:val="00E4686F"/>
    <w:rsid w:val="00E63AE9"/>
    <w:rsid w:val="00E67DD6"/>
    <w:rsid w:val="00E819BA"/>
    <w:rsid w:val="00E81F31"/>
    <w:rsid w:val="00E92BC5"/>
    <w:rsid w:val="00EB3EFB"/>
    <w:rsid w:val="00EC2D53"/>
    <w:rsid w:val="00EC7BDC"/>
    <w:rsid w:val="00ED5E97"/>
    <w:rsid w:val="00EE4BDB"/>
    <w:rsid w:val="00EE770B"/>
    <w:rsid w:val="00F173F4"/>
    <w:rsid w:val="00F250BD"/>
    <w:rsid w:val="00F4702D"/>
    <w:rsid w:val="00F537E0"/>
    <w:rsid w:val="00F65FF8"/>
    <w:rsid w:val="00F74F3F"/>
    <w:rsid w:val="00F820CE"/>
    <w:rsid w:val="00F9526C"/>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EB2250-787B-4BEF-BED7-9F3214FB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shadow/>
      <w:color w:val="264D7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2215C4"/>
    <w:pPr>
      <w:widowControl w:val="0"/>
      <w:tabs>
        <w:tab w:val="center" w:pos="5400"/>
      </w:tabs>
    </w:pPr>
    <w:rPr>
      <w:rFonts w:cs="Times New Roman"/>
    </w:rPr>
  </w:style>
  <w:style w:type="paragraph" w:customStyle="1" w:styleId="Style16">
    <w:name w:val="Style16"/>
    <w:basedOn w:val="Normal"/>
    <w:uiPriority w:val="99"/>
    <w:rsid w:val="002215C4"/>
    <w:pPr>
      <w:widowControl w:val="0"/>
      <w:tabs>
        <w:tab w:val="center" w:pos="5399"/>
      </w:tabs>
    </w:pPr>
    <w:rPr>
      <w:rFonts w:cs="Times New Roman"/>
    </w:rPr>
  </w:style>
  <w:style w:type="paragraph" w:styleId="Header">
    <w:name w:val="header"/>
    <w:basedOn w:val="Normal"/>
    <w:link w:val="HeaderChar"/>
    <w:uiPriority w:val="99"/>
    <w:semiHidden/>
    <w:unhideWhenUsed/>
    <w:rsid w:val="0059234B"/>
    <w:pPr>
      <w:tabs>
        <w:tab w:val="center" w:pos="4680"/>
        <w:tab w:val="right" w:pos="9360"/>
      </w:tabs>
    </w:pPr>
  </w:style>
  <w:style w:type="character" w:customStyle="1" w:styleId="HeaderChar">
    <w:name w:val="Header Char"/>
    <w:basedOn w:val="DefaultParagraphFont"/>
    <w:link w:val="Header"/>
    <w:uiPriority w:val="99"/>
    <w:semiHidden/>
    <w:rsid w:val="0059234B"/>
    <w:rPr>
      <w:rFonts w:ascii="Arial" w:hAnsi="Arial" w:cs="Arial"/>
      <w:sz w:val="20"/>
      <w:szCs w:val="20"/>
    </w:rPr>
  </w:style>
  <w:style w:type="paragraph" w:styleId="Footer">
    <w:name w:val="footer"/>
    <w:basedOn w:val="Normal"/>
    <w:link w:val="FooterChar"/>
    <w:uiPriority w:val="99"/>
    <w:semiHidden/>
    <w:unhideWhenUsed/>
    <w:rsid w:val="0059234B"/>
    <w:pPr>
      <w:tabs>
        <w:tab w:val="center" w:pos="4680"/>
        <w:tab w:val="right" w:pos="9360"/>
      </w:tabs>
    </w:pPr>
  </w:style>
  <w:style w:type="character" w:customStyle="1" w:styleId="FooterChar">
    <w:name w:val="Footer Char"/>
    <w:basedOn w:val="DefaultParagraphFont"/>
    <w:link w:val="Footer"/>
    <w:uiPriority w:val="99"/>
    <w:semiHidden/>
    <w:rsid w:val="0059234B"/>
    <w:rPr>
      <w:rFonts w:ascii="Arial" w:hAnsi="Arial" w:cs="Arial"/>
      <w:sz w:val="20"/>
      <w:szCs w:val="20"/>
    </w:rPr>
  </w:style>
  <w:style w:type="character" w:styleId="Hyperlink">
    <w:name w:val="Hyperlink"/>
    <w:basedOn w:val="DefaultParagraphFont"/>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basedOn w:val="DefaultParagraphFont"/>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basedOn w:val="DefaultParagraphFont"/>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basedOn w:val="DefaultParagraphFont"/>
    <w:link w:val="BodyText"/>
    <w:rsid w:val="00E35227"/>
    <w:rPr>
      <w:rFonts w:cs="Arial"/>
      <w:bCs/>
      <w:iCs/>
      <w:sz w:val="28"/>
      <w:szCs w:val="28"/>
      <w:lang w:val="en-US" w:eastAsia="en-US" w:bidi="ar-SA"/>
    </w:rPr>
  </w:style>
  <w:style w:type="character" w:customStyle="1" w:styleId="StyleBodyText12ptChar">
    <w:name w:val="Style Body Text + 12 pt Char"/>
    <w:basedOn w:val="BodyTextChar"/>
    <w:link w:val="StyleBodyText12pt"/>
    <w:rsid w:val="00E35227"/>
    <w:rPr>
      <w:rFonts w:cs="Arial"/>
      <w:bCs/>
      <w:iCs/>
      <w:sz w:val="24"/>
      <w:szCs w:val="28"/>
      <w:lang w:val="en-US" w:eastAsia="en-US" w:bidi="ar-SA"/>
    </w:rPr>
  </w:style>
  <w:style w:type="paragraph" w:customStyle="1" w:styleId="Requirement">
    <w:name w:val="Requirement"/>
    <w:basedOn w:val="List2"/>
    <w:link w:val="RequirementChar"/>
    <w:autoRedefine/>
    <w:rsid w:val="000970FA"/>
    <w:pPr>
      <w:numPr>
        <w:numId w:val="5"/>
      </w:numPr>
      <w:tabs>
        <w:tab w:val="clear" w:pos="936"/>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basedOn w:val="DefaultParagraphFon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basedOn w:val="DefaultParagraphFont"/>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basedOn w:val="DefaultParagraphFont"/>
    <w:link w:val="Heading1"/>
    <w:rsid w:val="001D0C8A"/>
    <w:rPr>
      <w:rFonts w:ascii="Tahoma" w:hAnsi="Tahoma" w:cs="Tahoma"/>
      <w:shadow/>
      <w:color w:val="264D74"/>
      <w:sz w:val="40"/>
      <w:szCs w:val="40"/>
    </w:rPr>
  </w:style>
  <w:style w:type="character" w:customStyle="1" w:styleId="RequirementChar">
    <w:name w:val="Requirement Char"/>
    <w:basedOn w:val="DefaultParagraphFont"/>
    <w:link w:val="Requirement"/>
    <w:rsid w:val="00843AC4"/>
    <w:rPr>
      <w:sz w:val="24"/>
      <w:szCs w:val="24"/>
    </w:rPr>
  </w:style>
  <w:style w:type="paragraph" w:styleId="ListBullet2">
    <w:name w:val="List Bullet 2"/>
    <w:basedOn w:val="Normal"/>
    <w:rsid w:val="00843AC4"/>
    <w:pPr>
      <w:numPr>
        <w:ilvl w:val="2"/>
        <w:numId w:val="19"/>
      </w:numPr>
      <w:autoSpaceDE/>
      <w:autoSpaceDN/>
      <w:adjustRightInd/>
      <w:spacing w:after="120"/>
    </w:pPr>
    <w:rPr>
      <w:rFonts w:ascii="Times New Roman" w:hAnsi="Times New Roman" w:cs="Times New Roman"/>
      <w:sz w:val="24"/>
      <w:szCs w:val="24"/>
    </w:rPr>
  </w:style>
  <w:style w:type="paragraph" w:styleId="ListParagraph">
    <w:name w:val="List Paragraph"/>
    <w:basedOn w:val="Normal"/>
    <w:uiPriority w:val="34"/>
    <w:qFormat/>
    <w:rsid w:val="00843AC4"/>
    <w:pPr>
      <w:ind w:left="720"/>
    </w:pPr>
  </w:style>
  <w:style w:type="paragraph" w:customStyle="1" w:styleId="BodyIndent1">
    <w:name w:val="Body Indent 1"/>
    <w:basedOn w:val="Normal"/>
    <w:rsid w:val="00E24E44"/>
    <w:pPr>
      <w:autoSpaceDE/>
      <w:autoSpaceDN/>
      <w:adjustRightInd/>
      <w:spacing w:after="120"/>
      <w:ind w:left="936"/>
      <w:contextualSpacing/>
    </w:pPr>
    <w:rPr>
      <w:rFonts w:ascii="Times New Roman" w:hAnsi="Times New Roman" w:cs="Times New Roman"/>
      <w:sz w:val="24"/>
      <w:szCs w:val="24"/>
    </w:rPr>
  </w:style>
  <w:style w:type="paragraph" w:styleId="FootnoteText">
    <w:name w:val="footnote text"/>
    <w:basedOn w:val="Normal"/>
    <w:link w:val="FootnoteTextChar"/>
    <w:semiHidden/>
    <w:rsid w:val="00E24E44"/>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E24E44"/>
  </w:style>
  <w:style w:type="character" w:styleId="FootnoteReference">
    <w:name w:val="footnote reference"/>
    <w:basedOn w:val="DefaultParagraphFont"/>
    <w:semiHidden/>
    <w:rsid w:val="00E24E44"/>
    <w:rPr>
      <w:vertAlign w:val="superscript"/>
    </w:rPr>
  </w:style>
  <w:style w:type="paragraph" w:styleId="DocumentMap">
    <w:name w:val="Document Map"/>
    <w:basedOn w:val="Normal"/>
    <w:link w:val="DocumentMapChar"/>
    <w:uiPriority w:val="99"/>
    <w:semiHidden/>
    <w:unhideWhenUsed/>
    <w:rsid w:val="00945FAD"/>
    <w:rPr>
      <w:rFonts w:ascii="Tahoma" w:hAnsi="Tahoma" w:cs="Tahoma"/>
      <w:sz w:val="16"/>
      <w:szCs w:val="16"/>
    </w:rPr>
  </w:style>
  <w:style w:type="character" w:customStyle="1" w:styleId="DocumentMapChar">
    <w:name w:val="Document Map Char"/>
    <w:basedOn w:val="DefaultParagraphFont"/>
    <w:link w:val="DocumentMap"/>
    <w:uiPriority w:val="99"/>
    <w:semiHidden/>
    <w:rsid w:val="00945FAD"/>
    <w:rPr>
      <w:rFonts w:ascii="Tahoma" w:hAnsi="Tahoma" w:cs="Tahoma"/>
      <w:sz w:val="16"/>
      <w:szCs w:val="16"/>
    </w:rPr>
  </w:style>
  <w:style w:type="character" w:styleId="FollowedHyperlink">
    <w:name w:val="FollowedHyperlink"/>
    <w:basedOn w:val="DefaultParagraphFont"/>
    <w:uiPriority w:val="99"/>
    <w:semiHidden/>
    <w:unhideWhenUsed/>
    <w:rsid w:val="000068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08084086">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395587945">
      <w:bodyDiv w:val="1"/>
      <w:marLeft w:val="0"/>
      <w:marRight w:val="0"/>
      <w:marTop w:val="0"/>
      <w:marBottom w:val="0"/>
      <w:divBdr>
        <w:top w:val="none" w:sz="0" w:space="0" w:color="auto"/>
        <w:left w:val="none" w:sz="0" w:space="0" w:color="auto"/>
        <w:bottom w:val="none" w:sz="0" w:space="0" w:color="auto"/>
        <w:right w:val="none" w:sz="0" w:space="0" w:color="auto"/>
      </w:divBdr>
    </w:div>
    <w:div w:id="481849511">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975573213">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55548174">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59613065">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33994172">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40107651">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4338256">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19243658">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022589482">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Header xmlns="078344ff-8d50-4bff-90aa-a5f449462ba4">Current RSAWs for Use</Header>
    <Number xmlns="078344ff-8d50-4bff-90aa-a5f449462ba4">MOD-028-2</Number>
    <Date xmlns="078344ff-8d50-4bff-90aa-a5f449462ba4">2013-10-11T03:00:00+00:00</Date>
  </documentManagement>
</p:properties>
</file>

<file path=customXml/itemProps1.xml><?xml version="1.0" encoding="utf-8"?>
<ds:datastoreItem xmlns:ds="http://schemas.openxmlformats.org/officeDocument/2006/customXml" ds:itemID="{AB8A6E87-6C05-4C30-AE2E-AB7CC01F353B}"/>
</file>

<file path=customXml/itemProps2.xml><?xml version="1.0" encoding="utf-8"?>
<ds:datastoreItem xmlns:ds="http://schemas.openxmlformats.org/officeDocument/2006/customXml" ds:itemID="{0FAD98FD-2758-45CB-B95F-CE222D4C8C7C}"/>
</file>

<file path=customXml/itemProps3.xml><?xml version="1.0" encoding="utf-8"?>
<ds:datastoreItem xmlns:ds="http://schemas.openxmlformats.org/officeDocument/2006/customXml" ds:itemID="{E2513EFB-C86E-4990-9723-958E235A1C2B}"/>
</file>

<file path=customXml/itemProps4.xml><?xml version="1.0" encoding="utf-8"?>
<ds:datastoreItem xmlns:ds="http://schemas.openxmlformats.org/officeDocument/2006/customXml" ds:itemID="{9FA0E397-6DAC-4CB1-80DA-3CF793474AA0}"/>
</file>

<file path=customXml/itemProps5.xml><?xml version="1.0" encoding="utf-8"?>
<ds:datastoreItem xmlns:ds="http://schemas.openxmlformats.org/officeDocument/2006/customXml" ds:itemID="{1C8BD594-CFE9-4E08-8D9D-81D6C33A6C8C}"/>
</file>

<file path=customXml/itemProps6.xml><?xml version="1.0" encoding="utf-8"?>
<ds:datastoreItem xmlns:ds="http://schemas.openxmlformats.org/officeDocument/2006/customXml" ds:itemID="{7D2F099C-F7A5-47B8-995E-69480D86301D}"/>
</file>

<file path=customXml/itemProps7.xml><?xml version="1.0" encoding="utf-8"?>
<ds:datastoreItem xmlns:ds="http://schemas.openxmlformats.org/officeDocument/2006/customXml" ds:itemID="{BE922DFA-B1A1-43E2-94E3-B0B030911690}"/>
</file>

<file path=docProps/app.xml><?xml version="1.0" encoding="utf-8"?>
<Properties xmlns="http://schemas.openxmlformats.org/officeDocument/2006/extended-properties" xmlns:vt="http://schemas.openxmlformats.org/officeDocument/2006/docPropsVTypes">
  <Template>Normal</Template>
  <TotalTime>15</TotalTime>
  <Pages>3</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Area Interchange Methodology</vt:lpstr>
    </vt:vector>
  </TitlesOfParts>
  <Company/>
  <LinksUpToDate>false</LinksUpToDate>
  <CharactersWithSpaces>40864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Interchange Methodology</dc:title>
  <dc:subject/>
  <dc:creator>NERC</dc:creator>
  <cp:keywords/>
  <dc:description/>
  <cp:lastModifiedBy>Andrei Lozovik</cp:lastModifiedBy>
  <cp:revision>6</cp:revision>
  <dcterms:created xsi:type="dcterms:W3CDTF">2013-09-11T15:16:00Z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NERCASSETID-406-81</vt:lpwstr>
  </property>
  <property fmtid="{D5CDD505-2E9C-101B-9397-08002B2CF9AE}" pid="3" name="_dlc_DocIdItemGuid">
    <vt:lpwstr>973af16d-32d3-44e8-9238-dc5ab7f5baa7</vt:lpwstr>
  </property>
  <property fmtid="{D5CDD505-2E9C-101B-9397-08002B2CF9AE}" pid="4" name="_dlc_DocIdUrl">
    <vt:lpwstr>http://www.nerc.com/pa/comp/_layouts/DocIdRedir.aspx?ID=NERCASSETID-406-81, NERCASSETID-406-81</vt:lpwstr>
  </property>
  <property fmtid="{D5CDD505-2E9C-101B-9397-08002B2CF9AE}" pid="5" name="xd_Signature">
    <vt:lpwstr/>
  </property>
  <property fmtid="{D5CDD505-2E9C-101B-9397-08002B2CF9AE}" pid="6" name="Order">
    <vt:lpwstr>8100.00000000000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ContentTypeId">
    <vt:lpwstr>0x010100D52B7665467D5C459C5BD9BD6364D7BF</vt:lpwstr>
  </property>
</Properties>
</file>