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6555ED" w:rsidRPr="001F467C">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1F467C" w:rsidRDefault="008C462E">
      <w:pPr>
        <w:widowControl w:val="0"/>
        <w:tabs>
          <w:tab w:val="left" w:pos="360"/>
        </w:tabs>
        <w:rPr>
          <w:rFonts w:ascii="Times New Roman" w:hAnsi="Times New Roman" w:cs="Times New Roman"/>
          <w:sz w:val="24"/>
          <w:szCs w:val="24"/>
        </w:rPr>
      </w:pPr>
    </w:p>
    <w:p w:rsidR="008C462E" w:rsidRPr="001F467C" w:rsidRDefault="008C462E">
      <w:pPr>
        <w:widowControl w:val="0"/>
        <w:spacing w:line="437" w:lineRule="exact"/>
        <w:rPr>
          <w:rFonts w:ascii="Times New Roman" w:hAnsi="Times New Roman" w:cs="Times New Roman"/>
          <w:sz w:val="24"/>
          <w:szCs w:val="24"/>
        </w:rPr>
      </w:pPr>
    </w:p>
    <w:p w:rsidR="008C462E" w:rsidRPr="001F467C" w:rsidRDefault="00D2641B" w:rsidP="00945D21">
      <w:pPr>
        <w:widowControl w:val="0"/>
        <w:tabs>
          <w:tab w:val="center" w:pos="5819"/>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Compliance</w:t>
      </w:r>
      <w:r w:rsidR="008C462E" w:rsidRPr="001F467C">
        <w:rPr>
          <w:rFonts w:ascii="Times New Roman" w:hAnsi="Times New Roman" w:cs="Times New Roman"/>
          <w:b/>
          <w:bCs/>
          <w:color w:val="000000"/>
          <w:sz w:val="24"/>
          <w:szCs w:val="24"/>
        </w:rPr>
        <w:t xml:space="preserve"> Questionnaire and</w:t>
      </w:r>
    </w:p>
    <w:p w:rsidR="008C462E" w:rsidRDefault="008C462E" w:rsidP="00945D21">
      <w:pPr>
        <w:widowControl w:val="0"/>
        <w:tabs>
          <w:tab w:val="center" w:pos="5820"/>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Reliability Standard Audit Worksheet</w:t>
      </w:r>
    </w:p>
    <w:p w:rsidR="00DF77F1" w:rsidRPr="001F467C" w:rsidRDefault="00DF77F1" w:rsidP="00945D21">
      <w:pPr>
        <w:widowControl w:val="0"/>
        <w:tabs>
          <w:tab w:val="center" w:pos="5820"/>
        </w:tabs>
        <w:jc w:val="center"/>
        <w:rPr>
          <w:rFonts w:ascii="Times New Roman" w:hAnsi="Times New Roman" w:cs="Times New Roman"/>
          <w:b/>
          <w:bCs/>
          <w:color w:val="000000"/>
          <w:sz w:val="24"/>
          <w:szCs w:val="24"/>
        </w:rPr>
      </w:pPr>
    </w:p>
    <w:p w:rsidR="00C740F8" w:rsidRDefault="00C740F8" w:rsidP="00945D21">
      <w:pPr>
        <w:widowControl w:val="0"/>
        <w:ind w:left="1" w:hanging="1"/>
        <w:jc w:val="center"/>
        <w:rPr>
          <w:rFonts w:ascii="Times New Roman" w:hAnsi="Times New Roman" w:cs="Times New Roman"/>
          <w:b/>
          <w:bCs/>
          <w:sz w:val="24"/>
          <w:szCs w:val="24"/>
        </w:rPr>
      </w:pPr>
    </w:p>
    <w:p w:rsidR="008C462E" w:rsidRPr="008C3D4D" w:rsidRDefault="00D10BE5" w:rsidP="00945D21">
      <w:pPr>
        <w:widowControl w:val="0"/>
        <w:ind w:left="1" w:hanging="1"/>
        <w:jc w:val="center"/>
        <w:rPr>
          <w:rFonts w:ascii="Times New Roman" w:hAnsi="Times New Roman" w:cs="Times New Roman"/>
          <w:sz w:val="32"/>
          <w:szCs w:val="32"/>
        </w:rPr>
      </w:pPr>
      <w:r w:rsidRPr="008C3D4D">
        <w:rPr>
          <w:rFonts w:ascii="Times New Roman" w:hAnsi="Times New Roman" w:cs="Times New Roman"/>
          <w:b/>
          <w:bCs/>
          <w:sz w:val="32"/>
          <w:szCs w:val="32"/>
        </w:rPr>
        <w:t>MOD-00</w:t>
      </w:r>
      <w:r w:rsidR="007F6C77" w:rsidRPr="008C3D4D">
        <w:rPr>
          <w:rFonts w:ascii="Times New Roman" w:hAnsi="Times New Roman" w:cs="Times New Roman"/>
          <w:b/>
          <w:bCs/>
          <w:sz w:val="32"/>
          <w:szCs w:val="32"/>
        </w:rPr>
        <w:t>4</w:t>
      </w:r>
      <w:r w:rsidR="001B5272" w:rsidRPr="008C3D4D">
        <w:rPr>
          <w:rFonts w:ascii="Times New Roman" w:hAnsi="Times New Roman" w:cs="Times New Roman"/>
          <w:b/>
          <w:bCs/>
          <w:sz w:val="32"/>
          <w:szCs w:val="32"/>
        </w:rPr>
        <w:t>-</w:t>
      </w:r>
      <w:r w:rsidR="00A95CC4" w:rsidRPr="008C3D4D">
        <w:rPr>
          <w:rFonts w:ascii="Times New Roman" w:hAnsi="Times New Roman" w:cs="Times New Roman"/>
          <w:b/>
          <w:bCs/>
          <w:sz w:val="32"/>
          <w:szCs w:val="32"/>
        </w:rPr>
        <w:t>1</w:t>
      </w:r>
      <w:r w:rsidR="004A7725" w:rsidRPr="008C3D4D">
        <w:rPr>
          <w:rFonts w:ascii="Times New Roman" w:hAnsi="Times New Roman" w:cs="Times New Roman"/>
          <w:b/>
          <w:bCs/>
          <w:sz w:val="32"/>
          <w:szCs w:val="32"/>
        </w:rPr>
        <w:t xml:space="preserve"> </w:t>
      </w:r>
      <w:r w:rsidR="001F467C" w:rsidRPr="008C3D4D">
        <w:rPr>
          <w:rFonts w:ascii="Times New Roman" w:hAnsi="Times New Roman" w:cs="Times New Roman"/>
          <w:b/>
          <w:bCs/>
          <w:color w:val="003366"/>
          <w:sz w:val="32"/>
          <w:szCs w:val="32"/>
        </w:rPr>
        <w:t>—</w:t>
      </w:r>
      <w:r w:rsidR="00945D21" w:rsidRPr="008C3D4D">
        <w:rPr>
          <w:rFonts w:ascii="Times New Roman" w:hAnsi="Times New Roman" w:cs="Times New Roman"/>
          <w:b/>
          <w:bCs/>
          <w:color w:val="003366"/>
          <w:sz w:val="32"/>
          <w:szCs w:val="32"/>
        </w:rPr>
        <w:t xml:space="preserve"> </w:t>
      </w:r>
      <w:r w:rsidR="007F6C77" w:rsidRPr="008C3D4D">
        <w:rPr>
          <w:rFonts w:ascii="Times New Roman" w:hAnsi="Times New Roman" w:cs="Times New Roman"/>
          <w:b/>
          <w:bCs/>
          <w:sz w:val="32"/>
          <w:szCs w:val="32"/>
        </w:rPr>
        <w:t>Capacity Benefit Margin</w:t>
      </w:r>
    </w:p>
    <w:p w:rsidR="00D2641B" w:rsidRPr="001F467C" w:rsidRDefault="00D2641B" w:rsidP="00D2641B">
      <w:pPr>
        <w:widowControl w:val="0"/>
        <w:rPr>
          <w:rFonts w:ascii="Times New Roman" w:hAnsi="Times New Roman" w:cs="Times New Roman"/>
          <w:sz w:val="24"/>
          <w:szCs w:val="24"/>
        </w:rPr>
      </w:pPr>
    </w:p>
    <w:p w:rsidR="00D2641B" w:rsidRPr="001F467C" w:rsidRDefault="00D2641B" w:rsidP="00D2641B">
      <w:pPr>
        <w:widowControl w:val="0"/>
        <w:rPr>
          <w:rFonts w:ascii="Times New Roman" w:hAnsi="Times New Roman" w:cs="Times New Roman"/>
          <w:sz w:val="24"/>
          <w:szCs w:val="24"/>
        </w:rPr>
      </w:pPr>
    </w:p>
    <w:p w:rsidR="00C740F8" w:rsidRDefault="008C462E">
      <w:pPr>
        <w:widowControl w:val="0"/>
        <w:tabs>
          <w:tab w:val="left" w:pos="480"/>
        </w:tabs>
        <w:spacing w:line="331" w:lineRule="exact"/>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8C3D4D">
        <w:rPr>
          <w:rFonts w:ascii="Times New Roman" w:hAnsi="Times New Roman" w:cs="Times New Roman"/>
          <w:b/>
          <w:bCs/>
          <w:color w:val="264D74"/>
          <w:sz w:val="28"/>
          <w:szCs w:val="28"/>
        </w:rPr>
        <w:t>Registered Entity</w:t>
      </w:r>
      <w:r w:rsidRPr="001F467C">
        <w:rPr>
          <w:rFonts w:ascii="Times New Roman" w:hAnsi="Times New Roman" w:cs="Times New Roman"/>
          <w:b/>
          <w:bCs/>
          <w:color w:val="264D74"/>
          <w:sz w:val="24"/>
          <w:szCs w:val="24"/>
        </w:rPr>
        <w:t>:</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E0573C" w:rsidRPr="001F467C">
        <w:rPr>
          <w:rFonts w:ascii="Times New Roman" w:hAnsi="Times New Roman" w:cs="Times New Roman"/>
          <w:i/>
          <w:iCs/>
          <w:color w:val="000000"/>
          <w:sz w:val="24"/>
          <w:szCs w:val="24"/>
        </w:rPr>
        <w:t>(Must be completed by the Compliance Enforcement Authority)</w:t>
      </w:r>
    </w:p>
    <w:p w:rsidR="00C740F8" w:rsidRDefault="00C740F8">
      <w:pPr>
        <w:widowControl w:val="0"/>
        <w:tabs>
          <w:tab w:val="left" w:pos="480"/>
        </w:tabs>
        <w:spacing w:line="331" w:lineRule="exact"/>
        <w:rPr>
          <w:rFonts w:ascii="Times New Roman" w:hAnsi="Times New Roman" w:cs="Times New Roman"/>
          <w:b/>
          <w:bCs/>
          <w:color w:val="264D74"/>
          <w:sz w:val="24"/>
          <w:szCs w:val="24"/>
        </w:rPr>
      </w:pPr>
    </w:p>
    <w:p w:rsidR="008C462E" w:rsidRPr="001F467C" w:rsidRDefault="008C462E">
      <w:pPr>
        <w:widowControl w:val="0"/>
        <w:tabs>
          <w:tab w:val="left" w:pos="480"/>
        </w:tabs>
        <w:spacing w:line="331" w:lineRule="exact"/>
        <w:rPr>
          <w:rFonts w:ascii="Times New Roman" w:hAnsi="Times New Roman" w:cs="Times New Roman"/>
          <w:i/>
          <w:iCs/>
          <w:color w:val="000000"/>
          <w:sz w:val="24"/>
          <w:szCs w:val="24"/>
        </w:rPr>
      </w:pPr>
      <w:r w:rsidRPr="008C3D4D">
        <w:rPr>
          <w:rFonts w:ascii="Times New Roman" w:hAnsi="Times New Roman" w:cs="Times New Roman"/>
          <w:b/>
          <w:bCs/>
          <w:color w:val="264D74"/>
          <w:sz w:val="28"/>
          <w:szCs w:val="28"/>
        </w:rPr>
        <w:t>NCR Number</w:t>
      </w:r>
      <w:r w:rsidRPr="001F467C">
        <w:rPr>
          <w:rFonts w:ascii="Times New Roman" w:hAnsi="Times New Roman" w:cs="Times New Roman"/>
          <w:b/>
          <w:bCs/>
          <w:color w:val="264D74"/>
          <w:sz w:val="24"/>
          <w:szCs w:val="24"/>
        </w:rPr>
        <w:t>:</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rsidR="00C740F8" w:rsidRDefault="00C740F8">
      <w:pPr>
        <w:widowControl w:val="0"/>
        <w:tabs>
          <w:tab w:val="left" w:pos="480"/>
          <w:tab w:val="left" w:pos="3720"/>
        </w:tabs>
        <w:spacing w:line="331" w:lineRule="exact"/>
        <w:rPr>
          <w:rFonts w:ascii="Times New Roman" w:hAnsi="Times New Roman" w:cs="Times New Roman"/>
          <w:b/>
          <w:bCs/>
          <w:color w:val="264D74"/>
          <w:sz w:val="24"/>
          <w:szCs w:val="24"/>
        </w:rPr>
      </w:pPr>
    </w:p>
    <w:p w:rsidR="008C462E" w:rsidRPr="001F467C" w:rsidRDefault="008C462E">
      <w:pPr>
        <w:widowControl w:val="0"/>
        <w:tabs>
          <w:tab w:val="left" w:pos="480"/>
          <w:tab w:val="left" w:pos="3720"/>
        </w:tabs>
        <w:spacing w:line="331" w:lineRule="exact"/>
        <w:rPr>
          <w:rFonts w:ascii="Times New Roman" w:hAnsi="Times New Roman" w:cs="Times New Roman"/>
          <w:b/>
          <w:bCs/>
          <w:color w:val="000000"/>
          <w:sz w:val="24"/>
          <w:szCs w:val="24"/>
        </w:rPr>
      </w:pPr>
      <w:r w:rsidRPr="008C3D4D">
        <w:rPr>
          <w:rFonts w:ascii="Times New Roman" w:hAnsi="Times New Roman" w:cs="Times New Roman"/>
          <w:b/>
          <w:bCs/>
          <w:color w:val="264D74"/>
          <w:sz w:val="28"/>
          <w:szCs w:val="28"/>
        </w:rPr>
        <w:t>Applicable Function</w:t>
      </w:r>
      <w:r w:rsidRPr="001F467C">
        <w:rPr>
          <w:rFonts w:ascii="Times New Roman" w:hAnsi="Times New Roman" w:cs="Times New Roman"/>
          <w:b/>
          <w:bCs/>
          <w:color w:val="264D74"/>
          <w:sz w:val="24"/>
          <w:szCs w:val="24"/>
        </w:rPr>
        <w:t>(s):</w:t>
      </w:r>
      <w:r w:rsidR="00A95CC4">
        <w:rPr>
          <w:rFonts w:ascii="Times New Roman" w:hAnsi="Times New Roman" w:cs="Times New Roman"/>
          <w:b/>
          <w:bCs/>
          <w:color w:val="264D74"/>
          <w:sz w:val="24"/>
          <w:szCs w:val="24"/>
        </w:rPr>
        <w:t xml:space="preserve"> </w:t>
      </w:r>
      <w:r w:rsidR="007F6C77" w:rsidRPr="009E2BCB">
        <w:rPr>
          <w:rFonts w:ascii="Times New Roman" w:hAnsi="Times New Roman" w:cs="Times New Roman"/>
          <w:b/>
          <w:bCs/>
          <w:sz w:val="24"/>
          <w:szCs w:val="24"/>
        </w:rPr>
        <w:t>LSE, RP, TSP, BA, TP when their associated TSP has elected to maintain CBM</w:t>
      </w:r>
    </w:p>
    <w:p w:rsidR="00C740F8" w:rsidRDefault="00C740F8" w:rsidP="00C740F8">
      <w:pPr>
        <w:widowControl w:val="0"/>
        <w:tabs>
          <w:tab w:val="left" w:pos="120"/>
        </w:tabs>
        <w:spacing w:line="331" w:lineRule="exact"/>
        <w:rPr>
          <w:rFonts w:ascii="Times New Roman" w:hAnsi="Times New Roman" w:cs="Times New Roman"/>
          <w:b/>
          <w:bCs/>
          <w:color w:val="264D74"/>
          <w:sz w:val="24"/>
          <w:szCs w:val="24"/>
        </w:rPr>
      </w:pPr>
    </w:p>
    <w:p w:rsidR="00DF77F1" w:rsidRPr="00021BFF" w:rsidRDefault="00DF77F1" w:rsidP="00C740F8">
      <w:pPr>
        <w:widowControl w:val="0"/>
        <w:tabs>
          <w:tab w:val="left" w:pos="120"/>
        </w:tabs>
        <w:spacing w:line="331" w:lineRule="exact"/>
        <w:rPr>
          <w:rFonts w:ascii="Times New Roman" w:hAnsi="Times New Roman" w:cs="Times New Roman"/>
          <w:b/>
          <w:bCs/>
          <w:color w:val="264D74"/>
          <w:sz w:val="24"/>
          <w:szCs w:val="24"/>
        </w:rPr>
      </w:pPr>
      <w:r w:rsidRPr="008C3D4D">
        <w:rPr>
          <w:rFonts w:ascii="Times New Roman" w:hAnsi="Times New Roman" w:cs="Times New Roman"/>
          <w:b/>
          <w:bCs/>
          <w:color w:val="264D74"/>
          <w:sz w:val="28"/>
          <w:szCs w:val="28"/>
        </w:rPr>
        <w:t>Auditors</w:t>
      </w:r>
      <w:r>
        <w:rPr>
          <w:rFonts w:ascii="Times New Roman" w:hAnsi="Times New Roman" w:cs="Times New Roman"/>
          <w:b/>
          <w:bCs/>
          <w:color w:val="264D74"/>
          <w:sz w:val="24"/>
          <w:szCs w:val="24"/>
        </w:rPr>
        <w:t>:</w:t>
      </w:r>
    </w:p>
    <w:p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1F467C" w:rsidRDefault="008C462E">
      <w:pPr>
        <w:widowControl w:val="0"/>
        <w:spacing w:line="1469" w:lineRule="exact"/>
        <w:rPr>
          <w:rFonts w:ascii="Times New Roman" w:hAnsi="Times New Roman" w:cs="Times New Roman"/>
          <w:sz w:val="24"/>
          <w:szCs w:val="24"/>
        </w:rPr>
      </w:pPr>
    </w:p>
    <w:p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spacing w:line="120" w:lineRule="exact"/>
        <w:rPr>
          <w:rFonts w:ascii="Times New Roman" w:hAnsi="Times New Roman" w:cs="Times New Roman"/>
          <w:sz w:val="24"/>
          <w:szCs w:val="24"/>
        </w:rPr>
      </w:pPr>
    </w:p>
    <w:p w:rsidR="008C462E" w:rsidRPr="001F467C" w:rsidRDefault="008C462E">
      <w:pPr>
        <w:widowControl w:val="0"/>
        <w:spacing w:line="40" w:lineRule="exact"/>
        <w:rPr>
          <w:rFonts w:ascii="Times New Roman" w:hAnsi="Times New Roman" w:cs="Times New Roman"/>
          <w:sz w:val="24"/>
          <w:szCs w:val="24"/>
        </w:rPr>
      </w:pPr>
      <w:r w:rsidRPr="001F467C">
        <w:rPr>
          <w:rFonts w:ascii="Times New Roman" w:hAnsi="Times New Roman" w:cs="Times New Roman"/>
          <w:sz w:val="24"/>
          <w:szCs w:val="24"/>
        </w:rPr>
        <w:br w:type="page"/>
      </w:r>
    </w:p>
    <w:p w:rsidR="009F494F" w:rsidRPr="008C3D4D" w:rsidRDefault="009F494F" w:rsidP="009F494F">
      <w:pPr>
        <w:widowControl w:val="0"/>
        <w:tabs>
          <w:tab w:val="left" w:pos="120"/>
        </w:tabs>
        <w:spacing w:line="331" w:lineRule="exact"/>
        <w:rPr>
          <w:rFonts w:ascii="Times New Roman" w:hAnsi="Times New Roman" w:cs="Times New Roman"/>
          <w:b/>
          <w:bCs/>
          <w:color w:val="003366"/>
          <w:sz w:val="28"/>
          <w:szCs w:val="28"/>
        </w:rPr>
      </w:pPr>
      <w:r w:rsidRPr="008C3D4D">
        <w:rPr>
          <w:rFonts w:ascii="Times New Roman" w:hAnsi="Times New Roman" w:cs="Times New Roman"/>
          <w:b/>
          <w:bCs/>
          <w:color w:val="003366"/>
          <w:sz w:val="28"/>
          <w:szCs w:val="28"/>
        </w:rPr>
        <w:lastRenderedPageBreak/>
        <w:t>Disclaimer</w:t>
      </w:r>
    </w:p>
    <w:p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67C" w:rsidRPr="001F467C" w:rsidRDefault="001F467C" w:rsidP="001F467C">
      <w:pPr>
        <w:rPr>
          <w:rFonts w:ascii="Times New Roman" w:hAnsi="Times New Roman" w:cs="Times New Roman"/>
          <w:color w:val="000000"/>
          <w:sz w:val="24"/>
          <w:szCs w:val="24"/>
        </w:rPr>
      </w:pPr>
    </w:p>
    <w:p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rsidR="00D2641B" w:rsidRPr="001F467C" w:rsidRDefault="00D2641B" w:rsidP="00D2641B">
      <w:pPr>
        <w:widowControl w:val="0"/>
        <w:tabs>
          <w:tab w:val="left" w:pos="60"/>
        </w:tabs>
        <w:spacing w:line="294" w:lineRule="exact"/>
        <w:rPr>
          <w:rFonts w:ascii="Times New Roman" w:hAnsi="Times New Roman" w:cs="Times New Roman"/>
          <w:sz w:val="24"/>
          <w:szCs w:val="24"/>
        </w:rPr>
      </w:pPr>
    </w:p>
    <w:p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67C" w:rsidRDefault="008C462E">
      <w:pPr>
        <w:widowControl w:val="0"/>
        <w:spacing w:line="284" w:lineRule="exact"/>
        <w:rPr>
          <w:rFonts w:ascii="Times New Roman" w:hAnsi="Times New Roman" w:cs="Times New Roman"/>
          <w:sz w:val="24"/>
          <w:szCs w:val="24"/>
        </w:rPr>
      </w:pPr>
    </w:p>
    <w:p w:rsidR="00DF77F1" w:rsidRPr="008C3D4D" w:rsidRDefault="008C462E" w:rsidP="00AE321D">
      <w:pPr>
        <w:pStyle w:val="Heading1"/>
        <w:rPr>
          <w:sz w:val="48"/>
          <w:szCs w:val="48"/>
        </w:rPr>
      </w:pPr>
      <w:r w:rsidRPr="001F467C">
        <w:rPr>
          <w:rFonts w:ascii="Times New Roman" w:hAnsi="Times New Roman" w:cs="Times New Roman"/>
          <w:sz w:val="24"/>
          <w:szCs w:val="24"/>
        </w:rPr>
        <w:br w:type="page"/>
      </w:r>
      <w:r w:rsidR="00DF77F1" w:rsidRPr="008C3D4D">
        <w:rPr>
          <w:sz w:val="48"/>
          <w:szCs w:val="48"/>
        </w:rPr>
        <w:lastRenderedPageBreak/>
        <w:t>Subject Matter Experts</w:t>
      </w:r>
    </w:p>
    <w:p w:rsidR="008C3D4D" w:rsidRDefault="008C3D4D" w:rsidP="00DF77F1">
      <w:pPr>
        <w:widowControl w:val="0"/>
        <w:rPr>
          <w:rFonts w:ascii="Times New Roman" w:hAnsi="Times New Roman" w:cs="Times New Roman"/>
          <w:sz w:val="24"/>
          <w:szCs w:val="24"/>
        </w:rPr>
      </w:pPr>
    </w:p>
    <w:p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DF77F1" w:rsidRPr="000039F3" w:rsidRDefault="00DF77F1" w:rsidP="00DF77F1">
      <w:pPr>
        <w:widowControl w:val="0"/>
        <w:spacing w:line="244" w:lineRule="exact"/>
        <w:rPr>
          <w:rFonts w:ascii="Times New Roman" w:hAnsi="Times New Roman" w:cs="Times New Roman"/>
          <w:sz w:val="24"/>
          <w:szCs w:val="24"/>
        </w:rPr>
      </w:pPr>
    </w:p>
    <w:p w:rsidR="00DF77F1" w:rsidRPr="000039F3" w:rsidRDefault="00DF77F1" w:rsidP="00DF77F1">
      <w:pPr>
        <w:widowControl w:val="0"/>
        <w:spacing w:line="120" w:lineRule="exact"/>
        <w:rPr>
          <w:rFonts w:ascii="Times New Roman" w:hAnsi="Times New Roman" w:cs="Times New Roman"/>
          <w:sz w:val="24"/>
          <w:szCs w:val="24"/>
        </w:rPr>
      </w:pPr>
    </w:p>
    <w:p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052C89">
        <w:rPr>
          <w:rFonts w:ascii="Times New Roman" w:hAnsi="Times New Roman" w:cs="Times New Roman"/>
          <w:b/>
          <w:bCs/>
          <w:color w:val="264D74"/>
          <w:sz w:val="24"/>
          <w:szCs w:val="24"/>
        </w:rPr>
        <w:t>Response</w:t>
      </w:r>
      <w:r w:rsidRPr="000039F3">
        <w:rPr>
          <w:rFonts w:ascii="Times New Roman" w:hAnsi="Times New Roman" w:cs="Times New Roman"/>
          <w:b/>
          <w:bCs/>
          <w:sz w:val="24"/>
          <w:szCs w:val="24"/>
        </w:rPr>
        <w:t xml:space="preserv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052C89" w:rsidTr="00B060A0">
        <w:tc>
          <w:tcPr>
            <w:tcW w:w="3528" w:type="dxa"/>
            <w:tcBorders>
              <w:top w:val="single" w:sz="8" w:space="0" w:color="4F81BD"/>
              <w:left w:val="nil"/>
              <w:bottom w:val="single" w:sz="8" w:space="0" w:color="4F81BD"/>
              <w:right w:val="nil"/>
            </w:tcBorders>
          </w:tcPr>
          <w:p w:rsidR="00DF77F1" w:rsidRPr="00052C89" w:rsidRDefault="00DF77F1" w:rsidP="00B060A0">
            <w:pPr>
              <w:widowControl w:val="0"/>
              <w:spacing w:line="468" w:lineRule="exact"/>
              <w:rPr>
                <w:rFonts w:ascii="Times New Roman" w:hAnsi="Times New Roman" w:cs="Times New Roman"/>
                <w:b/>
                <w:bCs/>
                <w:color w:val="264D74"/>
                <w:sz w:val="24"/>
                <w:szCs w:val="24"/>
              </w:rPr>
            </w:pPr>
            <w:r w:rsidRPr="00052C89">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DF77F1" w:rsidRPr="00052C89" w:rsidRDefault="00DF77F1" w:rsidP="00B060A0">
            <w:pPr>
              <w:widowControl w:val="0"/>
              <w:spacing w:line="468" w:lineRule="exact"/>
              <w:rPr>
                <w:rFonts w:ascii="Times New Roman" w:hAnsi="Times New Roman" w:cs="Times New Roman"/>
                <w:b/>
                <w:bCs/>
                <w:color w:val="264D74"/>
                <w:sz w:val="24"/>
                <w:szCs w:val="24"/>
              </w:rPr>
            </w:pPr>
            <w:r w:rsidRPr="00052C89">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DF77F1" w:rsidRPr="00052C89" w:rsidRDefault="00DF77F1" w:rsidP="00B060A0">
            <w:pPr>
              <w:widowControl w:val="0"/>
              <w:spacing w:line="468" w:lineRule="exact"/>
              <w:rPr>
                <w:rFonts w:ascii="Times New Roman" w:hAnsi="Times New Roman" w:cs="Times New Roman"/>
                <w:b/>
                <w:bCs/>
                <w:color w:val="264D74"/>
                <w:sz w:val="24"/>
                <w:szCs w:val="24"/>
              </w:rPr>
            </w:pPr>
            <w:r w:rsidRPr="00052C89">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DF77F1" w:rsidRPr="00052C89" w:rsidRDefault="00DF77F1" w:rsidP="00B060A0">
            <w:pPr>
              <w:widowControl w:val="0"/>
              <w:spacing w:line="468" w:lineRule="exact"/>
              <w:rPr>
                <w:rFonts w:ascii="Times New Roman" w:hAnsi="Times New Roman" w:cs="Times New Roman"/>
                <w:b/>
                <w:bCs/>
                <w:color w:val="264D74"/>
                <w:sz w:val="24"/>
                <w:szCs w:val="24"/>
              </w:rPr>
            </w:pPr>
            <w:r w:rsidRPr="00052C89">
              <w:rPr>
                <w:rFonts w:ascii="Times New Roman" w:hAnsi="Times New Roman" w:cs="Times New Roman"/>
                <w:b/>
                <w:bCs/>
                <w:color w:val="264D74"/>
                <w:sz w:val="24"/>
                <w:szCs w:val="24"/>
              </w:rPr>
              <w:t>Requirement</w:t>
            </w:r>
          </w:p>
        </w:tc>
      </w:tr>
      <w:tr w:rsidR="00DF77F1" w:rsidRPr="00234680" w:rsidTr="00B060A0">
        <w:tc>
          <w:tcPr>
            <w:tcW w:w="3528"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bl>
    <w:p w:rsidR="002B6766" w:rsidRPr="008C3D4D" w:rsidRDefault="008C3D4D" w:rsidP="008C3D4D">
      <w:pPr>
        <w:pStyle w:val="Heading1"/>
        <w:rPr>
          <w:sz w:val="48"/>
          <w:szCs w:val="48"/>
        </w:rPr>
      </w:pPr>
      <w:r>
        <w:rPr>
          <w:rFonts w:ascii="Times New Roman" w:hAnsi="Times New Roman" w:cs="Times New Roman"/>
          <w:sz w:val="24"/>
          <w:szCs w:val="24"/>
        </w:rPr>
        <w:br w:type="page"/>
      </w:r>
      <w:r w:rsidR="002B6766" w:rsidRPr="008C3D4D">
        <w:rPr>
          <w:sz w:val="48"/>
          <w:szCs w:val="48"/>
        </w:rPr>
        <w:t>Reliability Standard Language</w:t>
      </w:r>
    </w:p>
    <w:p w:rsidR="002B6766" w:rsidRPr="002B6766" w:rsidRDefault="002B6766" w:rsidP="002B6766"/>
    <w:p w:rsidR="008C462E" w:rsidRPr="001F467C" w:rsidRDefault="008C462E">
      <w:pPr>
        <w:widowControl w:val="0"/>
        <w:spacing w:line="40" w:lineRule="exact"/>
        <w:rPr>
          <w:rFonts w:ascii="Times New Roman" w:hAnsi="Times New Roman" w:cs="Times New Roman"/>
          <w:sz w:val="24"/>
          <w:szCs w:val="24"/>
        </w:rPr>
      </w:pPr>
    </w:p>
    <w:p w:rsidR="008C462E" w:rsidRPr="001F467C" w:rsidRDefault="008C462E">
      <w:pPr>
        <w:widowControl w:val="0"/>
        <w:shd w:val="clear" w:color="auto" w:fill="D3DCE9"/>
        <w:spacing w:line="120" w:lineRule="exact"/>
        <w:rPr>
          <w:rFonts w:ascii="Times New Roman" w:hAnsi="Times New Roman" w:cs="Times New Roman"/>
          <w:sz w:val="24"/>
          <w:szCs w:val="24"/>
        </w:rPr>
      </w:pPr>
    </w:p>
    <w:p w:rsidR="008C462E" w:rsidRPr="008C3D4D" w:rsidRDefault="008C462E">
      <w:pPr>
        <w:widowControl w:val="0"/>
        <w:shd w:val="clear" w:color="auto" w:fill="D3DCE9"/>
        <w:tabs>
          <w:tab w:val="left" w:pos="120"/>
        </w:tabs>
        <w:spacing w:line="240" w:lineRule="exact"/>
        <w:rPr>
          <w:rFonts w:ascii="Times New Roman" w:hAnsi="Times New Roman" w:cs="Times New Roman"/>
          <w:b/>
          <w:bCs/>
          <w:color w:val="003366"/>
          <w:sz w:val="28"/>
          <w:szCs w:val="28"/>
        </w:rPr>
      </w:pPr>
      <w:r w:rsidRPr="008C3D4D">
        <w:rPr>
          <w:rFonts w:ascii="Times New Roman" w:hAnsi="Times New Roman" w:cs="Times New Roman"/>
          <w:sz w:val="28"/>
          <w:szCs w:val="28"/>
        </w:rPr>
        <w:tab/>
      </w:r>
      <w:r w:rsidR="00D10BE5" w:rsidRPr="008C3D4D">
        <w:rPr>
          <w:rFonts w:ascii="Times New Roman" w:hAnsi="Times New Roman" w:cs="Times New Roman"/>
          <w:b/>
          <w:bCs/>
          <w:color w:val="003366"/>
          <w:sz w:val="28"/>
          <w:szCs w:val="28"/>
        </w:rPr>
        <w:t>MOD-00</w:t>
      </w:r>
      <w:r w:rsidR="00910C54" w:rsidRPr="008C3D4D">
        <w:rPr>
          <w:rFonts w:ascii="Times New Roman" w:hAnsi="Times New Roman" w:cs="Times New Roman"/>
          <w:b/>
          <w:bCs/>
          <w:color w:val="003366"/>
          <w:sz w:val="28"/>
          <w:szCs w:val="28"/>
        </w:rPr>
        <w:t>4</w:t>
      </w:r>
      <w:r w:rsidR="001F467C" w:rsidRPr="008C3D4D">
        <w:rPr>
          <w:rFonts w:ascii="Times New Roman" w:hAnsi="Times New Roman" w:cs="Times New Roman"/>
          <w:b/>
          <w:bCs/>
          <w:color w:val="003366"/>
          <w:sz w:val="28"/>
          <w:szCs w:val="28"/>
        </w:rPr>
        <w:t>-</w:t>
      </w:r>
      <w:r w:rsidR="001D0C8A" w:rsidRPr="008C3D4D">
        <w:rPr>
          <w:rFonts w:ascii="Times New Roman" w:hAnsi="Times New Roman" w:cs="Times New Roman"/>
          <w:b/>
          <w:bCs/>
          <w:color w:val="003366"/>
          <w:sz w:val="28"/>
          <w:szCs w:val="28"/>
        </w:rPr>
        <w:t>1</w:t>
      </w:r>
      <w:r w:rsidRPr="008C3D4D">
        <w:rPr>
          <w:rFonts w:ascii="Times New Roman" w:hAnsi="Times New Roman" w:cs="Times New Roman"/>
          <w:b/>
          <w:bCs/>
          <w:color w:val="003366"/>
          <w:sz w:val="28"/>
          <w:szCs w:val="28"/>
        </w:rPr>
        <w:t xml:space="preserve"> </w:t>
      </w:r>
      <w:r w:rsidR="001F467C" w:rsidRPr="008C3D4D">
        <w:rPr>
          <w:rFonts w:ascii="Times New Roman" w:hAnsi="Times New Roman" w:cs="Times New Roman"/>
          <w:b/>
          <w:bCs/>
          <w:color w:val="003366"/>
          <w:sz w:val="28"/>
          <w:szCs w:val="28"/>
        </w:rPr>
        <w:t>—</w:t>
      </w:r>
      <w:r w:rsidRPr="008C3D4D">
        <w:rPr>
          <w:rFonts w:ascii="Times New Roman" w:hAnsi="Times New Roman" w:cs="Times New Roman"/>
          <w:b/>
          <w:bCs/>
          <w:color w:val="003366"/>
          <w:sz w:val="28"/>
          <w:szCs w:val="28"/>
        </w:rPr>
        <w:t xml:space="preserve"> </w:t>
      </w:r>
      <w:r w:rsidR="00910C54" w:rsidRPr="008C3D4D">
        <w:rPr>
          <w:rFonts w:ascii="Times New Roman" w:hAnsi="Times New Roman" w:cs="Times New Roman"/>
          <w:b/>
          <w:bCs/>
          <w:color w:val="003366"/>
          <w:sz w:val="28"/>
          <w:szCs w:val="28"/>
        </w:rPr>
        <w:t>Capacity Benefit Margin</w:t>
      </w:r>
    </w:p>
    <w:p w:rsidR="008C462E" w:rsidRPr="001F467C" w:rsidRDefault="008C462E">
      <w:pPr>
        <w:widowControl w:val="0"/>
        <w:shd w:val="clear" w:color="auto" w:fill="D3DCE9"/>
        <w:spacing w:line="135" w:lineRule="exact"/>
        <w:rPr>
          <w:rFonts w:ascii="Times New Roman" w:hAnsi="Times New Roman" w:cs="Times New Roman"/>
          <w:sz w:val="24"/>
          <w:szCs w:val="24"/>
        </w:rPr>
      </w:pPr>
    </w:p>
    <w:p w:rsidR="008C462E" w:rsidRPr="001F467C" w:rsidRDefault="008C462E">
      <w:pPr>
        <w:widowControl w:val="0"/>
        <w:spacing w:line="120" w:lineRule="exact"/>
        <w:rPr>
          <w:rFonts w:ascii="Times New Roman" w:hAnsi="Times New Roman" w:cs="Times New Roman"/>
          <w:sz w:val="24"/>
          <w:szCs w:val="24"/>
        </w:rPr>
      </w:pPr>
    </w:p>
    <w:p w:rsidR="008C462E" w:rsidRPr="008C3D4D" w:rsidRDefault="008C462E">
      <w:pPr>
        <w:widowControl w:val="0"/>
        <w:tabs>
          <w:tab w:val="left" w:pos="840"/>
        </w:tabs>
        <w:spacing w:line="294" w:lineRule="exact"/>
        <w:rPr>
          <w:rFonts w:ascii="Times New Roman" w:hAnsi="Times New Roman" w:cs="Times New Roman"/>
          <w:b/>
          <w:bCs/>
          <w:color w:val="264D74"/>
          <w:sz w:val="28"/>
          <w:szCs w:val="28"/>
        </w:rPr>
      </w:pPr>
      <w:r w:rsidRPr="008C3D4D">
        <w:rPr>
          <w:rFonts w:ascii="Times New Roman" w:hAnsi="Times New Roman" w:cs="Times New Roman"/>
          <w:b/>
          <w:bCs/>
          <w:color w:val="264D74"/>
          <w:sz w:val="28"/>
          <w:szCs w:val="28"/>
        </w:rPr>
        <w:t xml:space="preserve">Purpose: </w:t>
      </w:r>
    </w:p>
    <w:p w:rsidR="00D10BE5" w:rsidRPr="00F3776C" w:rsidRDefault="00D10BE5" w:rsidP="00D10BE5">
      <w:pPr>
        <w:pStyle w:val="Default"/>
      </w:pPr>
    </w:p>
    <w:p w:rsidR="00D10BE5" w:rsidRPr="00F3776C" w:rsidRDefault="00D10BE5" w:rsidP="00D10BE5">
      <w:pPr>
        <w:pStyle w:val="Default"/>
      </w:pPr>
      <w:r w:rsidRPr="00F3776C">
        <w:t xml:space="preserve">To ensure that calculations are performed by Transmission Service Providers to maintain awareness of available transmission system capability and future flows on their own systems as well as those of their neighbors. </w:t>
      </w:r>
    </w:p>
    <w:p w:rsidR="002E66FF" w:rsidRPr="00F3776C" w:rsidRDefault="002E66FF">
      <w:pPr>
        <w:widowControl w:val="0"/>
        <w:tabs>
          <w:tab w:val="left" w:pos="840"/>
        </w:tabs>
        <w:spacing w:line="294" w:lineRule="exact"/>
        <w:rPr>
          <w:rFonts w:ascii="Times New Roman" w:hAnsi="Times New Roman" w:cs="Times New Roman"/>
          <w:b/>
          <w:bCs/>
          <w:color w:val="264D74"/>
          <w:sz w:val="24"/>
          <w:szCs w:val="24"/>
        </w:rPr>
      </w:pPr>
    </w:p>
    <w:p w:rsidR="008737EE" w:rsidRPr="001F467C" w:rsidRDefault="008737EE">
      <w:pPr>
        <w:widowControl w:val="0"/>
        <w:tabs>
          <w:tab w:val="left" w:pos="840"/>
        </w:tabs>
        <w:spacing w:line="294" w:lineRule="exact"/>
        <w:rPr>
          <w:rFonts w:ascii="Times New Roman" w:hAnsi="Times New Roman" w:cs="Times New Roman"/>
          <w:b/>
          <w:bCs/>
          <w:color w:val="264D74"/>
          <w:sz w:val="24"/>
          <w:szCs w:val="24"/>
        </w:rPr>
      </w:pPr>
    </w:p>
    <w:p w:rsidR="008C462E" w:rsidRPr="008C3D4D" w:rsidRDefault="008C462E">
      <w:pPr>
        <w:widowControl w:val="0"/>
        <w:tabs>
          <w:tab w:val="left" w:pos="840"/>
        </w:tabs>
        <w:spacing w:line="294" w:lineRule="exact"/>
        <w:rPr>
          <w:rFonts w:ascii="Times New Roman" w:hAnsi="Times New Roman" w:cs="Times New Roman"/>
          <w:b/>
          <w:bCs/>
          <w:color w:val="264D74"/>
          <w:sz w:val="28"/>
          <w:szCs w:val="28"/>
        </w:rPr>
      </w:pPr>
      <w:r w:rsidRPr="008C3D4D">
        <w:rPr>
          <w:rFonts w:ascii="Times New Roman" w:hAnsi="Times New Roman" w:cs="Times New Roman"/>
          <w:b/>
          <w:bCs/>
          <w:color w:val="264D74"/>
          <w:sz w:val="28"/>
          <w:szCs w:val="28"/>
        </w:rPr>
        <w:t>Applicability:</w:t>
      </w:r>
    </w:p>
    <w:p w:rsidR="001E693D"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Cs/>
          <w:snapToGrid w:val="0"/>
          <w:sz w:val="24"/>
          <w:szCs w:val="24"/>
        </w:rPr>
      </w:pPr>
      <w:r w:rsidRPr="001F467C">
        <w:rPr>
          <w:rFonts w:ascii="Times New Roman" w:hAnsi="Times New Roman" w:cs="Times New Roman"/>
          <w:bCs/>
          <w:snapToGrid w:val="0"/>
          <w:sz w:val="24"/>
          <w:szCs w:val="24"/>
        </w:rPr>
        <w:t xml:space="preserve">    </w:t>
      </w:r>
      <w:r w:rsidR="007F6C77">
        <w:rPr>
          <w:rFonts w:ascii="Times New Roman" w:hAnsi="Times New Roman" w:cs="Times New Roman"/>
          <w:bCs/>
          <w:snapToGrid w:val="0"/>
          <w:sz w:val="24"/>
          <w:szCs w:val="24"/>
        </w:rPr>
        <w:t>Load-Serving Entities</w:t>
      </w:r>
    </w:p>
    <w:p w:rsidR="007F6C77" w:rsidRPr="001F467C" w:rsidRDefault="007F6C77" w:rsidP="002E66FF">
      <w:pPr>
        <w:pStyle w:val="ListNumber"/>
        <w:numPr>
          <w:ilvl w:val="0"/>
          <w:numId w:val="0"/>
        </w:numPr>
        <w:tabs>
          <w:tab w:val="left" w:pos="2160"/>
        </w:tabs>
        <w:autoSpaceDE/>
        <w:autoSpaceDN/>
        <w:adjustRightInd/>
        <w:spacing w:after="120"/>
        <w:ind w:left="579"/>
        <w:rPr>
          <w:rFonts w:ascii="Times New Roman" w:hAnsi="Times New Roman" w:cs="Times New Roman"/>
          <w:bCs/>
          <w:snapToGrid w:val="0"/>
          <w:sz w:val="24"/>
          <w:szCs w:val="24"/>
        </w:rPr>
      </w:pPr>
      <w:r>
        <w:rPr>
          <w:rFonts w:ascii="Times New Roman" w:hAnsi="Times New Roman" w:cs="Times New Roman"/>
          <w:bCs/>
          <w:snapToGrid w:val="0"/>
          <w:sz w:val="24"/>
          <w:szCs w:val="24"/>
        </w:rPr>
        <w:t xml:space="preserve">    Resource Planners</w:t>
      </w:r>
      <w:r>
        <w:rPr>
          <w:rFonts w:ascii="Times New Roman" w:hAnsi="Times New Roman" w:cs="Times New Roman"/>
          <w:bCs/>
          <w:snapToGrid w:val="0"/>
          <w:sz w:val="24"/>
          <w:szCs w:val="24"/>
        </w:rPr>
        <w:tab/>
      </w:r>
    </w:p>
    <w:p w:rsidR="007F6C77" w:rsidRDefault="001E693D" w:rsidP="00D10BE5">
      <w:pPr>
        <w:pStyle w:val="ListNumber"/>
        <w:numPr>
          <w:ilvl w:val="0"/>
          <w:numId w:val="0"/>
        </w:numPr>
        <w:tabs>
          <w:tab w:val="left" w:pos="2160"/>
        </w:tabs>
        <w:autoSpaceDE/>
        <w:autoSpaceDN/>
        <w:adjustRightInd/>
        <w:spacing w:after="120"/>
        <w:ind w:left="579"/>
        <w:rPr>
          <w:rFonts w:ascii="Times New Roman" w:hAnsi="Times New Roman" w:cs="Times New Roman"/>
          <w:bCs/>
          <w:snapToGrid w:val="0"/>
          <w:sz w:val="24"/>
          <w:szCs w:val="24"/>
        </w:rPr>
      </w:pPr>
      <w:r w:rsidRPr="001F467C">
        <w:rPr>
          <w:rFonts w:ascii="Times New Roman" w:hAnsi="Times New Roman" w:cs="Times New Roman"/>
          <w:bCs/>
          <w:snapToGrid w:val="0"/>
          <w:sz w:val="24"/>
          <w:szCs w:val="24"/>
        </w:rPr>
        <w:t xml:space="preserve">    </w:t>
      </w:r>
      <w:r w:rsidR="007F6C77">
        <w:rPr>
          <w:rFonts w:ascii="Times New Roman" w:hAnsi="Times New Roman" w:cs="Times New Roman"/>
          <w:bCs/>
          <w:snapToGrid w:val="0"/>
          <w:sz w:val="24"/>
          <w:szCs w:val="24"/>
        </w:rPr>
        <w:t>Transmission Service Providers</w:t>
      </w:r>
    </w:p>
    <w:p w:rsidR="007F6C77" w:rsidRDefault="007F6C77" w:rsidP="00D10BE5">
      <w:pPr>
        <w:pStyle w:val="ListNumber"/>
        <w:numPr>
          <w:ilvl w:val="0"/>
          <w:numId w:val="0"/>
        </w:numPr>
        <w:tabs>
          <w:tab w:val="left" w:pos="2160"/>
        </w:tabs>
        <w:autoSpaceDE/>
        <w:autoSpaceDN/>
        <w:adjustRightInd/>
        <w:spacing w:after="120"/>
        <w:ind w:left="579"/>
        <w:rPr>
          <w:rFonts w:ascii="Times New Roman" w:hAnsi="Times New Roman" w:cs="Times New Roman"/>
          <w:bCs/>
          <w:snapToGrid w:val="0"/>
          <w:sz w:val="24"/>
          <w:szCs w:val="24"/>
        </w:rPr>
      </w:pPr>
      <w:r>
        <w:rPr>
          <w:rFonts w:ascii="Times New Roman" w:hAnsi="Times New Roman" w:cs="Times New Roman"/>
          <w:bCs/>
          <w:snapToGrid w:val="0"/>
          <w:sz w:val="24"/>
          <w:szCs w:val="24"/>
        </w:rPr>
        <w:t xml:space="preserve">    Balancing Authorities</w:t>
      </w:r>
    </w:p>
    <w:p w:rsidR="008737EE" w:rsidRPr="001F467C" w:rsidRDefault="007F6C77" w:rsidP="007F6C77">
      <w:pPr>
        <w:pStyle w:val="ListNumber"/>
        <w:numPr>
          <w:ilvl w:val="0"/>
          <w:numId w:val="0"/>
        </w:numPr>
        <w:tabs>
          <w:tab w:val="left" w:pos="2160"/>
        </w:tabs>
        <w:autoSpaceDE/>
        <w:autoSpaceDN/>
        <w:adjustRightInd/>
        <w:spacing w:after="120"/>
        <w:ind w:left="580"/>
        <w:rPr>
          <w:rFonts w:ascii="Times New Roman" w:hAnsi="Times New Roman" w:cs="Times New Roman"/>
          <w:b/>
          <w:sz w:val="24"/>
          <w:szCs w:val="24"/>
        </w:rPr>
      </w:pPr>
      <w:r>
        <w:rPr>
          <w:rFonts w:ascii="Times New Roman" w:hAnsi="Times New Roman" w:cs="Times New Roman"/>
          <w:bCs/>
          <w:snapToGrid w:val="0"/>
          <w:sz w:val="24"/>
          <w:szCs w:val="24"/>
        </w:rPr>
        <w:t xml:space="preserve">    Transmission Planners, when their associated Transmission Service Provider has elected to maintain           CBM.</w:t>
      </w:r>
      <w:r w:rsidR="002E66FF" w:rsidRPr="001F467C">
        <w:rPr>
          <w:rFonts w:ascii="Times New Roman" w:hAnsi="Times New Roman" w:cs="Times New Roman"/>
          <w:bCs/>
          <w:snapToGrid w:val="0"/>
          <w:sz w:val="24"/>
          <w:szCs w:val="24"/>
        </w:rPr>
        <w:t xml:space="preserve">    </w:t>
      </w:r>
    </w:p>
    <w:p w:rsidR="008737EE" w:rsidRPr="001F467C"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1F467C">
        <w:rPr>
          <w:rFonts w:ascii="Times New Roman" w:hAnsi="Times New Roman" w:cs="Times New Roman"/>
          <w:bCs/>
          <w:snapToGrid w:val="0"/>
          <w:sz w:val="24"/>
          <w:szCs w:val="24"/>
        </w:rPr>
        <w:t xml:space="preserve">   </w:t>
      </w:r>
    </w:p>
    <w:p w:rsidR="008C462E" w:rsidRPr="003512AC"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r w:rsidR="00FD5A9D">
        <w:rPr>
          <w:rFonts w:ascii="Times New Roman Bold" w:hAnsi="Times New Roman Bold" w:cs="Times New Roman"/>
          <w:b/>
          <w:bCs/>
          <w:sz w:val="24"/>
          <w:szCs w:val="24"/>
        </w:rPr>
        <w:t>11</w:t>
      </w:r>
      <w:r w:rsidR="00D10BE5">
        <w:rPr>
          <w:rFonts w:ascii="Times New Roman Bold" w:hAnsi="Times New Roman Bold" w:cs="Times New Roman"/>
          <w:b/>
          <w:bCs/>
          <w:sz w:val="24"/>
          <w:szCs w:val="24"/>
        </w:rPr>
        <w:t>/</w:t>
      </w:r>
      <w:r w:rsidR="00FD5A9D">
        <w:rPr>
          <w:rFonts w:ascii="Times New Roman Bold" w:hAnsi="Times New Roman Bold" w:cs="Times New Roman"/>
          <w:b/>
          <w:bCs/>
          <w:sz w:val="24"/>
          <w:szCs w:val="24"/>
        </w:rPr>
        <w:t>13</w:t>
      </w:r>
      <w:r w:rsidR="000970FA" w:rsidRPr="003512AC">
        <w:rPr>
          <w:rFonts w:ascii="Times New Roman Bold" w:hAnsi="Times New Roman Bold" w:cs="Times New Roman"/>
          <w:b/>
          <w:bCs/>
          <w:sz w:val="24"/>
          <w:szCs w:val="24"/>
        </w:rPr>
        <w:t>/200</w:t>
      </w:r>
      <w:r w:rsidR="0015310F">
        <w:rPr>
          <w:rFonts w:ascii="Times New Roman Bold" w:hAnsi="Times New Roman Bold" w:cs="Times New Roman"/>
          <w:b/>
          <w:bCs/>
          <w:sz w:val="24"/>
          <w:szCs w:val="24"/>
        </w:rPr>
        <w:t>8</w:t>
      </w:r>
    </w:p>
    <w:p w:rsidR="008C462E" w:rsidRPr="003512AC" w:rsidRDefault="008C462E">
      <w:pPr>
        <w:widowControl w:val="0"/>
        <w:spacing w:line="120" w:lineRule="exact"/>
        <w:rPr>
          <w:rFonts w:ascii="Times New Roman Bold" w:hAnsi="Times New Roman Bold" w:cs="Times New Roman"/>
          <w:sz w:val="24"/>
          <w:szCs w:val="24"/>
        </w:rPr>
      </w:pPr>
    </w:p>
    <w:p w:rsidR="008C462E" w:rsidRPr="005714CC" w:rsidRDefault="008C462E">
      <w:pPr>
        <w:widowControl w:val="0"/>
        <w:tabs>
          <w:tab w:val="left" w:pos="480"/>
        </w:tabs>
        <w:spacing w:line="240" w:lineRule="exact"/>
        <w:rPr>
          <w:rFonts w:ascii="Times New Roman Bold" w:hAnsi="Times New Roman Bold" w:cs="Times New Roman"/>
          <w:b/>
          <w:bCs/>
          <w:color w:val="000000"/>
          <w:sz w:val="24"/>
          <w:szCs w:val="24"/>
        </w:rPr>
      </w:pPr>
      <w:r w:rsidRPr="003512AC">
        <w:rPr>
          <w:rFonts w:ascii="Times New Roman Bold" w:hAnsi="Times New Roman Bold" w:cs="Times New Roman"/>
          <w:b/>
          <w:bCs/>
          <w:sz w:val="24"/>
          <w:szCs w:val="24"/>
        </w:rPr>
        <w:t xml:space="preserve">FERC Approval Date: </w:t>
      </w:r>
      <w:r w:rsidR="005714CC" w:rsidRPr="005714CC">
        <w:rPr>
          <w:rFonts w:ascii="Times New Roman Bold" w:hAnsi="Times New Roman Bold" w:cs="Times New Roman"/>
          <w:b/>
          <w:bCs/>
          <w:color w:val="000000"/>
          <w:sz w:val="24"/>
          <w:szCs w:val="24"/>
        </w:rPr>
        <w:t>11/24/2009</w:t>
      </w:r>
    </w:p>
    <w:p w:rsidR="008C462E" w:rsidRPr="003512AC" w:rsidRDefault="008C462E">
      <w:pPr>
        <w:widowControl w:val="0"/>
        <w:spacing w:line="120" w:lineRule="exact"/>
        <w:rPr>
          <w:rFonts w:ascii="Times New Roman Bold" w:hAnsi="Times New Roman Bold" w:cs="Times New Roman"/>
          <w:sz w:val="24"/>
          <w:szCs w:val="24"/>
        </w:rPr>
      </w:pPr>
    </w:p>
    <w:p w:rsidR="008C462E" w:rsidRPr="003512AC" w:rsidRDefault="008C462E">
      <w:pPr>
        <w:widowControl w:val="0"/>
        <w:tabs>
          <w:tab w:val="left" w:pos="480"/>
        </w:tabs>
        <w:spacing w:line="24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Reliability Standard Enforcem</w:t>
      </w:r>
      <w:r w:rsidR="0015310F">
        <w:rPr>
          <w:rFonts w:ascii="Times New Roman Bold" w:hAnsi="Times New Roman Bold" w:cs="Times New Roman"/>
          <w:b/>
          <w:bCs/>
          <w:sz w:val="24"/>
          <w:szCs w:val="24"/>
        </w:rPr>
        <w:t xml:space="preserve">ent Date in the United States: </w:t>
      </w:r>
      <w:r w:rsidR="00C04889" w:rsidRPr="005714CC">
        <w:rPr>
          <w:rFonts w:ascii="Times New Roman Bold" w:hAnsi="Times New Roman Bold" w:cs="Times New Roman"/>
          <w:b/>
          <w:bCs/>
          <w:color w:val="000000"/>
          <w:sz w:val="24"/>
          <w:szCs w:val="24"/>
        </w:rPr>
        <w:t>0</w:t>
      </w:r>
      <w:r w:rsidR="00C04889">
        <w:rPr>
          <w:rFonts w:ascii="Times New Roman Bold" w:hAnsi="Times New Roman Bold" w:cs="Times New Roman"/>
          <w:b/>
          <w:bCs/>
          <w:color w:val="000000"/>
          <w:sz w:val="24"/>
          <w:szCs w:val="24"/>
        </w:rPr>
        <w:t>4</w:t>
      </w:r>
      <w:r w:rsidR="005714CC" w:rsidRPr="005714CC">
        <w:rPr>
          <w:rFonts w:ascii="Times New Roman Bold" w:hAnsi="Times New Roman Bold" w:cs="Times New Roman"/>
          <w:b/>
          <w:bCs/>
          <w:color w:val="000000"/>
          <w:sz w:val="24"/>
          <w:szCs w:val="24"/>
        </w:rPr>
        <w:t>/01/2011</w:t>
      </w:r>
    </w:p>
    <w:p w:rsidR="008C462E" w:rsidRDefault="008C462E">
      <w:pPr>
        <w:widowControl w:val="0"/>
        <w:spacing w:line="240" w:lineRule="exact"/>
        <w:rPr>
          <w:rFonts w:ascii="Times New Roman" w:hAnsi="Times New Roman" w:cs="Times New Roman"/>
          <w:sz w:val="24"/>
          <w:szCs w:val="24"/>
        </w:rPr>
      </w:pPr>
    </w:p>
    <w:p w:rsidR="00052C89" w:rsidRDefault="00052C89" w:rsidP="00052C89">
      <w:pPr>
        <w:widowControl w:val="0"/>
        <w:tabs>
          <w:tab w:val="left" w:pos="0"/>
        </w:tabs>
        <w:spacing w:line="294" w:lineRule="exact"/>
        <w:rPr>
          <w:rFonts w:ascii="Times New Roman" w:hAnsi="Times New Roman" w:cs="Times New Roman"/>
          <w:b/>
          <w:bCs/>
          <w:color w:val="365F91"/>
          <w:sz w:val="24"/>
          <w:szCs w:val="24"/>
        </w:rPr>
      </w:pPr>
    </w:p>
    <w:p w:rsidR="005907BB" w:rsidRDefault="005907BB" w:rsidP="00052C89">
      <w:pPr>
        <w:widowControl w:val="0"/>
        <w:tabs>
          <w:tab w:val="left" w:pos="0"/>
        </w:tabs>
        <w:spacing w:line="294" w:lineRule="exact"/>
        <w:rPr>
          <w:rFonts w:ascii="Times New Roman" w:hAnsi="Times New Roman" w:cs="Times New Roman"/>
          <w:b/>
          <w:bCs/>
          <w:color w:val="264D74"/>
          <w:sz w:val="24"/>
          <w:szCs w:val="24"/>
        </w:rPr>
      </w:pPr>
      <w:r w:rsidRPr="00052C89">
        <w:rPr>
          <w:rFonts w:ascii="Times New Roman" w:hAnsi="Times New Roman" w:cs="Times New Roman"/>
          <w:b/>
          <w:bCs/>
          <w:sz w:val="24"/>
          <w:szCs w:val="24"/>
        </w:rPr>
        <w:t>Question:</w:t>
      </w:r>
      <w:r>
        <w:rPr>
          <w:rFonts w:ascii="Times New Roman" w:hAnsi="Times New Roman" w:cs="Times New Roman"/>
          <w:b/>
          <w:bCs/>
          <w:sz w:val="24"/>
          <w:szCs w:val="24"/>
        </w:rPr>
        <w:t xml:space="preserve"> </w:t>
      </w:r>
      <w:r w:rsidRPr="00052C89">
        <w:rPr>
          <w:rFonts w:ascii="Times New Roman" w:hAnsi="Times New Roman" w:cs="Times New Roman"/>
          <w:bCs/>
          <w:sz w:val="24"/>
          <w:szCs w:val="24"/>
        </w:rPr>
        <w:t>As a TSP, do you maintain a CBM?</w:t>
      </w:r>
      <w:r w:rsidDel="00AD5422">
        <w:rPr>
          <w:rFonts w:ascii="Times New Roman" w:hAnsi="Times New Roman" w:cs="Times New Roman"/>
          <w:b/>
          <w:bCs/>
          <w:color w:val="264D74"/>
          <w:sz w:val="24"/>
          <w:szCs w:val="24"/>
        </w:rPr>
        <w:t xml:space="preserve"> </w:t>
      </w:r>
    </w:p>
    <w:p w:rsidR="005907BB" w:rsidRPr="009C039C" w:rsidRDefault="005907BB" w:rsidP="00052C89">
      <w:pPr>
        <w:widowControl w:val="0"/>
        <w:tabs>
          <w:tab w:val="left" w:pos="0"/>
        </w:tabs>
        <w:spacing w:line="294" w:lineRule="exact"/>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5907BB" w:rsidRPr="001F467C" w:rsidRDefault="005907BB" w:rsidP="00052C89">
      <w:pPr>
        <w:widowControl w:val="0"/>
        <w:tabs>
          <w:tab w:val="left" w:pos="0"/>
        </w:tabs>
        <w:spacing w:line="186" w:lineRule="exact"/>
        <w:rPr>
          <w:rFonts w:ascii="Times New Roman" w:hAnsi="Times New Roman" w:cs="Times New Roman"/>
          <w:sz w:val="24"/>
          <w:szCs w:val="24"/>
        </w:rPr>
      </w:pPr>
    </w:p>
    <w:p w:rsidR="005907BB" w:rsidRPr="001F467C" w:rsidRDefault="005907BB" w:rsidP="00052C89">
      <w:pPr>
        <w:widowControl w:val="0"/>
        <w:shd w:val="clear" w:color="auto" w:fill="D3DCE9"/>
        <w:tabs>
          <w:tab w:val="left" w:pos="0"/>
        </w:tabs>
        <w:spacing w:line="294" w:lineRule="exact"/>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5907BB" w:rsidRPr="001F467C" w:rsidRDefault="005907BB" w:rsidP="00052C89">
      <w:pPr>
        <w:widowControl w:val="0"/>
        <w:shd w:val="clear" w:color="auto" w:fill="D3DCE9"/>
        <w:tabs>
          <w:tab w:val="left" w:pos="0"/>
        </w:tabs>
        <w:spacing w:line="294" w:lineRule="exact"/>
        <w:rPr>
          <w:rFonts w:ascii="Times New Roman" w:hAnsi="Times New Roman" w:cs="Times New Roman"/>
          <w:bCs/>
          <w:color w:val="264D74"/>
          <w:sz w:val="24"/>
          <w:szCs w:val="24"/>
        </w:rPr>
      </w:pPr>
    </w:p>
    <w:p w:rsidR="005907BB" w:rsidRDefault="005907BB" w:rsidP="005907BB">
      <w:pPr>
        <w:pStyle w:val="Requirement"/>
        <w:numPr>
          <w:ilvl w:val="0"/>
          <w:numId w:val="0"/>
        </w:numPr>
        <w:tabs>
          <w:tab w:val="left" w:pos="2592"/>
        </w:tabs>
        <w:ind w:left="720" w:hanging="720"/>
      </w:pPr>
    </w:p>
    <w:p w:rsidR="00C96948" w:rsidRPr="001F467C" w:rsidRDefault="00C96948">
      <w:pPr>
        <w:widowControl w:val="0"/>
        <w:spacing w:line="240" w:lineRule="exact"/>
        <w:rPr>
          <w:rFonts w:ascii="Times New Roman" w:hAnsi="Times New Roman" w:cs="Times New Roman"/>
          <w:sz w:val="24"/>
          <w:szCs w:val="24"/>
        </w:rPr>
      </w:pPr>
    </w:p>
    <w:p w:rsidR="00D2641B" w:rsidRPr="008C3D4D" w:rsidRDefault="00D2641B">
      <w:pPr>
        <w:widowControl w:val="0"/>
        <w:spacing w:line="294" w:lineRule="exact"/>
        <w:rPr>
          <w:rFonts w:ascii="Times New Roman" w:hAnsi="Times New Roman" w:cs="Times New Roman"/>
          <w:b/>
          <w:bCs/>
          <w:color w:val="003366"/>
          <w:sz w:val="28"/>
          <w:szCs w:val="28"/>
        </w:rPr>
      </w:pPr>
      <w:r w:rsidRPr="008C3D4D">
        <w:rPr>
          <w:rFonts w:ascii="Times New Roman" w:hAnsi="Times New Roman" w:cs="Times New Roman"/>
          <w:b/>
          <w:bCs/>
          <w:color w:val="003366"/>
          <w:sz w:val="28"/>
          <w:szCs w:val="28"/>
        </w:rPr>
        <w:t>Requirements:</w:t>
      </w:r>
    </w:p>
    <w:p w:rsidR="00491C0E" w:rsidRDefault="00491C0E" w:rsidP="00491C0E">
      <w:pPr>
        <w:pStyle w:val="Requirement"/>
        <w:tabs>
          <w:tab w:val="clear" w:pos="934"/>
          <w:tab w:val="num" w:pos="900"/>
          <w:tab w:val="num" w:pos="936"/>
          <w:tab w:val="left" w:pos="2592"/>
        </w:tabs>
        <w:ind w:left="900" w:hanging="540"/>
      </w:pPr>
      <w:r>
        <w:t>The</w:t>
      </w:r>
      <w:r w:rsidRPr="002C482C">
        <w:t xml:space="preserve"> Transmission Service Provider</w:t>
      </w:r>
      <w:r>
        <w:t xml:space="preserve"> </w:t>
      </w:r>
      <w:r w:rsidRPr="00AC585A">
        <w:t>that maintain</w:t>
      </w:r>
      <w:r>
        <w:t>s</w:t>
      </w:r>
      <w:r w:rsidRPr="00AC585A">
        <w:t xml:space="preserve"> CBM</w:t>
      </w:r>
      <w:r w:rsidRPr="002C482C">
        <w:t xml:space="preserve"> shall </w:t>
      </w:r>
      <w:r w:rsidRPr="00A22DB3">
        <w:t>prepare and keep</w:t>
      </w:r>
      <w:r>
        <w:t xml:space="preserve"> current a “Capacity Benefit Margin Implementation Document” (CBMID) that includes, at a minimum, the following information</w:t>
      </w:r>
      <w:r w:rsidRPr="002C482C">
        <w:t xml:space="preserve">: </w:t>
      </w:r>
      <w:r>
        <w:t>[</w:t>
      </w:r>
      <w:r w:rsidRPr="00016955">
        <w:rPr>
          <w:i/>
        </w:rPr>
        <w:t>Violation Risk Factor</w:t>
      </w:r>
      <w:r>
        <w:rPr>
          <w:i/>
        </w:rPr>
        <w:t>:</w:t>
      </w:r>
      <w:r w:rsidRPr="00016955">
        <w:rPr>
          <w:i/>
        </w:rPr>
        <w:t xml:space="preserve"> </w:t>
      </w:r>
      <w:r>
        <w:rPr>
          <w:i/>
        </w:rPr>
        <w:t>Lower</w:t>
      </w:r>
      <w:r>
        <w:t>] [</w:t>
      </w:r>
      <w:r w:rsidRPr="00016955">
        <w:rPr>
          <w:i/>
        </w:rPr>
        <w:t>Time Horizon</w:t>
      </w:r>
      <w:r>
        <w:rPr>
          <w:i/>
        </w:rPr>
        <w:t>:</w:t>
      </w:r>
      <w:r w:rsidRPr="00016955">
        <w:rPr>
          <w:i/>
        </w:rPr>
        <w:t xml:space="preserve"> Operations Planning</w:t>
      </w:r>
      <w:r>
        <w:rPr>
          <w:i/>
        </w:rPr>
        <w:t>, Long-term Planning</w:t>
      </w:r>
      <w:r>
        <w:t>]</w:t>
      </w:r>
    </w:p>
    <w:p w:rsidR="00491C0E" w:rsidRPr="00271739" w:rsidRDefault="00491C0E" w:rsidP="00491C0E">
      <w:pPr>
        <w:pStyle w:val="Requirement"/>
        <w:numPr>
          <w:ilvl w:val="1"/>
          <w:numId w:val="5"/>
        </w:numPr>
        <w:tabs>
          <w:tab w:val="clear" w:pos="3240"/>
          <w:tab w:val="num" w:pos="1620"/>
          <w:tab w:val="num" w:pos="1728"/>
        </w:tabs>
        <w:ind w:left="1620" w:hanging="720"/>
      </w:pPr>
      <w:r>
        <w:t>The process through which a Load-Serving</w:t>
      </w:r>
      <w:r w:rsidRPr="004B00F2">
        <w:t xml:space="preserve"> Entit</w:t>
      </w:r>
      <w:r>
        <w:t xml:space="preserve">y </w:t>
      </w:r>
      <w:r w:rsidRPr="004B00F2">
        <w:t>within a Balancing Authority</w:t>
      </w:r>
      <w:r>
        <w:t xml:space="preserve"> Area</w:t>
      </w:r>
      <w:r w:rsidRPr="004B00F2">
        <w:t xml:space="preserve"> associated </w:t>
      </w:r>
      <w:r w:rsidRPr="00271739">
        <w:t xml:space="preserve">with the Transmission Service Provider, or </w:t>
      </w:r>
      <w:r>
        <w:t xml:space="preserve">the </w:t>
      </w:r>
      <w:r w:rsidRPr="00271739">
        <w:t>Resource Planner</w:t>
      </w:r>
      <w:r>
        <w:t xml:space="preserve"> associated with that Balancing Authority Area</w:t>
      </w:r>
      <w:r w:rsidRPr="00271739">
        <w:t xml:space="preserve">, may ensure that its need for </w:t>
      </w:r>
      <w:r>
        <w:t>T</w:t>
      </w:r>
      <w:r w:rsidRPr="00271739">
        <w:t xml:space="preserve">ransmission capacity to be set aside as CBM will be reviewed and accommodated by the Transmission Service Provider to the extent </w:t>
      </w:r>
      <w:r>
        <w:t>T</w:t>
      </w:r>
      <w:r w:rsidRPr="00271739">
        <w:t xml:space="preserve">ransmission capacity is available.   </w:t>
      </w:r>
    </w:p>
    <w:p w:rsidR="00491C0E" w:rsidRPr="00271739" w:rsidRDefault="00491C0E" w:rsidP="00491C0E">
      <w:pPr>
        <w:pStyle w:val="Requirement"/>
        <w:numPr>
          <w:ilvl w:val="1"/>
          <w:numId w:val="5"/>
        </w:numPr>
        <w:tabs>
          <w:tab w:val="clear" w:pos="3240"/>
          <w:tab w:val="num" w:pos="1620"/>
          <w:tab w:val="num" w:pos="1728"/>
        </w:tabs>
        <w:ind w:left="1620" w:hanging="720"/>
      </w:pPr>
      <w:r w:rsidRPr="00271739">
        <w:t xml:space="preserve">The procedure and assumptions for </w:t>
      </w:r>
      <w:r>
        <w:t>establishing</w:t>
      </w:r>
      <w:r w:rsidRPr="00271739">
        <w:t xml:space="preserve"> CBM for each A</w:t>
      </w:r>
      <w:r>
        <w:t>vailable Transfer Capability (A</w:t>
      </w:r>
      <w:r w:rsidRPr="00271739">
        <w:t>TC</w:t>
      </w:r>
      <w:r>
        <w:t>)</w:t>
      </w:r>
      <w:r w:rsidRPr="00271739">
        <w:t xml:space="preserve"> Path or Flowgate.</w:t>
      </w:r>
    </w:p>
    <w:p w:rsidR="00491C0E" w:rsidRPr="00271739" w:rsidRDefault="00491C0E" w:rsidP="00491C0E">
      <w:pPr>
        <w:pStyle w:val="Requirement"/>
        <w:numPr>
          <w:ilvl w:val="1"/>
          <w:numId w:val="5"/>
        </w:numPr>
        <w:tabs>
          <w:tab w:val="num" w:pos="1620"/>
          <w:tab w:val="num" w:pos="1728"/>
          <w:tab w:val="left" w:pos="2592"/>
        </w:tabs>
        <w:ind w:left="1620" w:hanging="720"/>
      </w:pPr>
      <w:r w:rsidRPr="00271739">
        <w:t xml:space="preserve">The procedure for a </w:t>
      </w:r>
      <w:r>
        <w:t>Load-Serving</w:t>
      </w:r>
      <w:r w:rsidRPr="00271739">
        <w:t xml:space="preserve"> Entity or Balancing Authority to use </w:t>
      </w:r>
      <w:r>
        <w:t>T</w:t>
      </w:r>
      <w:r w:rsidRPr="00271739">
        <w:t>ransmission capacity set aside as CBM</w:t>
      </w:r>
      <w:r>
        <w:t>, including the manner in which the Transmission Service Provider will manage situations where the requested use of CBM exceeds the amount of CBM available</w:t>
      </w:r>
      <w:r w:rsidRPr="00271739">
        <w:t xml:space="preserve">. </w:t>
      </w: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8C3D4D" w:rsidRPr="008B3775" w:rsidRDefault="008C3D4D" w:rsidP="008C3D4D">
      <w:pPr>
        <w:pStyle w:val="Heading1"/>
        <w:rPr>
          <w:sz w:val="32"/>
          <w:szCs w:val="32"/>
        </w:rPr>
      </w:pPr>
      <w:r w:rsidRPr="008B3775">
        <w:rPr>
          <w:sz w:val="32"/>
          <w:szCs w:val="32"/>
        </w:rPr>
        <w:t>R</w:t>
      </w:r>
      <w:r>
        <w:rPr>
          <w:sz w:val="32"/>
          <w:szCs w:val="32"/>
        </w:rPr>
        <w:t>1</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A52681" w:rsidRDefault="00A52681"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001BFE" w:rsidP="002D1C0A">
      <w:pPr>
        <w:pStyle w:val="Requirement"/>
        <w:numPr>
          <w:ilvl w:val="0"/>
          <w:numId w:val="0"/>
        </w:numPr>
        <w:tabs>
          <w:tab w:val="left" w:pos="2592"/>
        </w:tabs>
        <w:ind w:left="720" w:hanging="720"/>
      </w:pPr>
      <w: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MOD-00</w:t>
      </w:r>
      <w:r w:rsidR="007F6C77">
        <w:rPr>
          <w:rFonts w:ascii="Times New Roman" w:hAnsi="Times New Roman" w:cs="Times New Roman"/>
          <w:b/>
          <w:bCs/>
          <w:color w:val="264D74"/>
          <w:sz w:val="24"/>
          <w:szCs w:val="24"/>
        </w:rPr>
        <w:t>4</w:t>
      </w:r>
      <w:r w:rsidR="001D0C8A">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R1</w:t>
      </w:r>
    </w:p>
    <w:p w:rsidR="00001BFE" w:rsidRPr="001F467C" w:rsidRDefault="00001BFE" w:rsidP="00001BFE">
      <w:pPr>
        <w:widowControl w:val="0"/>
        <w:spacing w:line="106" w:lineRule="exact"/>
        <w:rPr>
          <w:rFonts w:ascii="Times New Roman" w:hAnsi="Times New Roman" w:cs="Times New Roman"/>
          <w:sz w:val="24"/>
          <w:szCs w:val="24"/>
        </w:rPr>
      </w:pPr>
    </w:p>
    <w:p w:rsidR="00001BFE" w:rsidRPr="005E50A4" w:rsidRDefault="00001BFE" w:rsidP="00001BFE">
      <w:pPr>
        <w:rPr>
          <w:rFonts w:ascii="Times New Roman" w:hAnsi="Times New Roman" w:cs="Times New Roman"/>
          <w:bCs/>
          <w:color w:val="365F91"/>
          <w:sz w:val="24"/>
          <w:szCs w:val="24"/>
        </w:rPr>
      </w:pPr>
    </w:p>
    <w:p w:rsidR="00B97A2A" w:rsidRDefault="00001BFE" w:rsidP="00B97A2A">
      <w:pPr>
        <w:ind w:left="1530" w:hanging="1174"/>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796AE9">
        <w:rPr>
          <w:rFonts w:ascii="Times New Roman" w:hAnsi="Times New Roman" w:cs="Times New Roman"/>
          <w:bCs/>
          <w:color w:val="365F91"/>
          <w:sz w:val="24"/>
          <w:szCs w:val="24"/>
        </w:rPr>
        <w:t>Verify t</w:t>
      </w:r>
      <w:r w:rsidR="00B97A2A" w:rsidRPr="00B97A2A">
        <w:rPr>
          <w:rFonts w:ascii="Times New Roman" w:hAnsi="Times New Roman" w:cs="Times New Roman"/>
          <w:color w:val="365F91"/>
          <w:sz w:val="24"/>
          <w:szCs w:val="24"/>
        </w:rPr>
        <w:t>he T</w:t>
      </w:r>
      <w:r w:rsidR="00796AE9">
        <w:rPr>
          <w:rFonts w:ascii="Times New Roman" w:hAnsi="Times New Roman" w:cs="Times New Roman"/>
          <w:color w:val="365F91"/>
          <w:sz w:val="24"/>
          <w:szCs w:val="24"/>
        </w:rPr>
        <w:t>SP</w:t>
      </w:r>
      <w:r w:rsidR="00AE321D">
        <w:rPr>
          <w:rFonts w:ascii="Times New Roman" w:hAnsi="Times New Roman" w:cs="Times New Roman"/>
          <w:color w:val="365F91"/>
          <w:sz w:val="24"/>
          <w:szCs w:val="24"/>
        </w:rPr>
        <w:t>,</w:t>
      </w:r>
      <w:r w:rsidR="00B97A2A" w:rsidRPr="00B97A2A">
        <w:rPr>
          <w:rFonts w:ascii="Times New Roman" w:hAnsi="Times New Roman" w:cs="Times New Roman"/>
          <w:color w:val="365F91"/>
          <w:sz w:val="24"/>
          <w:szCs w:val="24"/>
        </w:rPr>
        <w:t xml:space="preserve"> </w:t>
      </w:r>
      <w:r w:rsidR="00796AE9">
        <w:rPr>
          <w:rFonts w:ascii="Times New Roman" w:hAnsi="Times New Roman" w:cs="Times New Roman"/>
          <w:color w:val="365F91"/>
          <w:sz w:val="24"/>
          <w:szCs w:val="24"/>
        </w:rPr>
        <w:t xml:space="preserve">that </w:t>
      </w:r>
      <w:r w:rsidR="00AE321D">
        <w:rPr>
          <w:rFonts w:ascii="Times New Roman" w:hAnsi="Times New Roman" w:cs="Times New Roman"/>
          <w:color w:val="365F91"/>
          <w:sz w:val="24"/>
          <w:szCs w:val="24"/>
        </w:rPr>
        <w:t xml:space="preserve">maintains CBM, </w:t>
      </w:r>
      <w:r w:rsidR="00796AE9">
        <w:rPr>
          <w:rFonts w:ascii="Times New Roman" w:hAnsi="Times New Roman" w:cs="Times New Roman"/>
          <w:color w:val="365F91"/>
          <w:sz w:val="24"/>
          <w:szCs w:val="24"/>
        </w:rPr>
        <w:t>has</w:t>
      </w:r>
      <w:r w:rsidR="00B97A2A" w:rsidRPr="00B97A2A">
        <w:rPr>
          <w:rFonts w:ascii="Times New Roman" w:hAnsi="Times New Roman" w:cs="Times New Roman"/>
          <w:color w:val="365F91"/>
          <w:sz w:val="24"/>
          <w:szCs w:val="24"/>
        </w:rPr>
        <w:t xml:space="preserve"> prepare</w:t>
      </w:r>
      <w:r w:rsidR="00796AE9">
        <w:rPr>
          <w:rFonts w:ascii="Times New Roman" w:hAnsi="Times New Roman" w:cs="Times New Roman"/>
          <w:color w:val="365F91"/>
          <w:sz w:val="24"/>
          <w:szCs w:val="24"/>
        </w:rPr>
        <w:t>d</w:t>
      </w:r>
      <w:r w:rsidR="00B97A2A" w:rsidRPr="00B97A2A">
        <w:rPr>
          <w:rFonts w:ascii="Times New Roman" w:hAnsi="Times New Roman" w:cs="Times New Roman"/>
          <w:color w:val="365F91"/>
          <w:sz w:val="24"/>
          <w:szCs w:val="24"/>
        </w:rPr>
        <w:t xml:space="preserve"> and kep</w:t>
      </w:r>
      <w:r w:rsidR="00796AE9">
        <w:rPr>
          <w:rFonts w:ascii="Times New Roman" w:hAnsi="Times New Roman" w:cs="Times New Roman"/>
          <w:color w:val="365F91"/>
          <w:sz w:val="24"/>
          <w:szCs w:val="24"/>
        </w:rPr>
        <w:t>t</w:t>
      </w:r>
      <w:r w:rsidR="00B97A2A" w:rsidRPr="00B97A2A">
        <w:rPr>
          <w:rFonts w:ascii="Times New Roman" w:hAnsi="Times New Roman" w:cs="Times New Roman"/>
          <w:color w:val="365F91"/>
          <w:sz w:val="24"/>
          <w:szCs w:val="24"/>
        </w:rPr>
        <w:t xml:space="preserve"> current a “Capacity Benefit Margin Implementation Document” (CBMID) that includes, at a minimum, the following information: </w:t>
      </w:r>
    </w:p>
    <w:p w:rsidR="00B97A2A" w:rsidRDefault="00B97A2A" w:rsidP="00B97A2A">
      <w:pPr>
        <w:ind w:left="1530" w:hanging="1174"/>
        <w:rPr>
          <w:rFonts w:ascii="Times New Roman" w:hAnsi="Times New Roman" w:cs="Times New Roman"/>
          <w:color w:val="365F91"/>
          <w:sz w:val="24"/>
          <w:szCs w:val="24"/>
        </w:rPr>
      </w:pPr>
    </w:p>
    <w:p w:rsidR="00B97A2A" w:rsidRDefault="00B97A2A" w:rsidP="00B97A2A">
      <w:pPr>
        <w:ind w:left="1530" w:hanging="1174"/>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B97A2A">
        <w:rPr>
          <w:rFonts w:ascii="Times New Roman" w:hAnsi="Times New Roman" w:cs="Times New Roman"/>
          <w:bCs/>
          <w:color w:val="365F91"/>
          <w:sz w:val="24"/>
          <w:szCs w:val="24"/>
        </w:rPr>
        <w:t>___</w:t>
      </w:r>
      <w:r w:rsidRPr="00B97A2A">
        <w:rPr>
          <w:rFonts w:ascii="Times New Roman" w:hAnsi="Times New Roman" w:cs="Times New Roman"/>
          <w:color w:val="365F91"/>
          <w:sz w:val="24"/>
          <w:szCs w:val="24"/>
        </w:rPr>
        <w:t>The process through which a L</w:t>
      </w:r>
      <w:r w:rsidR="00796AE9">
        <w:rPr>
          <w:rFonts w:ascii="Times New Roman" w:hAnsi="Times New Roman" w:cs="Times New Roman"/>
          <w:color w:val="365F91"/>
          <w:sz w:val="24"/>
          <w:szCs w:val="24"/>
        </w:rPr>
        <w:t>SE</w:t>
      </w:r>
      <w:r w:rsidR="004476FB">
        <w:rPr>
          <w:rFonts w:ascii="Times New Roman" w:hAnsi="Times New Roman" w:cs="Times New Roman"/>
          <w:color w:val="365F91"/>
          <w:sz w:val="24"/>
          <w:szCs w:val="24"/>
        </w:rPr>
        <w:t xml:space="preserve"> within a BA</w:t>
      </w:r>
      <w:r w:rsidRPr="00B97A2A">
        <w:rPr>
          <w:rFonts w:ascii="Times New Roman" w:hAnsi="Times New Roman" w:cs="Times New Roman"/>
          <w:color w:val="365F91"/>
          <w:sz w:val="24"/>
          <w:szCs w:val="24"/>
        </w:rPr>
        <w:t xml:space="preserve"> Area associated with the T</w:t>
      </w:r>
      <w:r w:rsidR="00796AE9">
        <w:rPr>
          <w:rFonts w:ascii="Times New Roman" w:hAnsi="Times New Roman" w:cs="Times New Roman"/>
          <w:color w:val="365F91"/>
          <w:sz w:val="24"/>
          <w:szCs w:val="24"/>
        </w:rPr>
        <w:t>SP</w:t>
      </w:r>
      <w:r w:rsidRPr="00B97A2A">
        <w:rPr>
          <w:rFonts w:ascii="Times New Roman" w:hAnsi="Times New Roman" w:cs="Times New Roman"/>
          <w:color w:val="365F91"/>
          <w:sz w:val="24"/>
          <w:szCs w:val="24"/>
        </w:rPr>
        <w:t>, or the RP associate</w:t>
      </w:r>
      <w:r w:rsidR="004476FB">
        <w:rPr>
          <w:rFonts w:ascii="Times New Roman" w:hAnsi="Times New Roman" w:cs="Times New Roman"/>
          <w:color w:val="365F91"/>
          <w:sz w:val="24"/>
          <w:szCs w:val="24"/>
        </w:rPr>
        <w:t xml:space="preserve">d with that BA </w:t>
      </w:r>
      <w:r w:rsidRPr="00B97A2A">
        <w:rPr>
          <w:rFonts w:ascii="Times New Roman" w:hAnsi="Times New Roman" w:cs="Times New Roman"/>
          <w:color w:val="365F91"/>
          <w:sz w:val="24"/>
          <w:szCs w:val="24"/>
        </w:rPr>
        <w:t>Area, may ensure that its need for Transmission capacity to be set aside as CBM will be reviewed and accommodated by the T</w:t>
      </w:r>
      <w:r w:rsidR="00796AE9">
        <w:rPr>
          <w:rFonts w:ascii="Times New Roman" w:hAnsi="Times New Roman" w:cs="Times New Roman"/>
          <w:color w:val="365F91"/>
          <w:sz w:val="24"/>
          <w:szCs w:val="24"/>
        </w:rPr>
        <w:t>SP</w:t>
      </w:r>
      <w:r w:rsidRPr="00B97A2A">
        <w:rPr>
          <w:rFonts w:ascii="Times New Roman" w:hAnsi="Times New Roman" w:cs="Times New Roman"/>
          <w:color w:val="365F91"/>
          <w:sz w:val="24"/>
          <w:szCs w:val="24"/>
        </w:rPr>
        <w:t xml:space="preserve"> to the extent Transmission capacity is available.   </w:t>
      </w:r>
    </w:p>
    <w:p w:rsidR="00B97A2A" w:rsidRPr="00B97A2A" w:rsidRDefault="00B97A2A" w:rsidP="00B97A2A">
      <w:pPr>
        <w:ind w:left="1530" w:hanging="1174"/>
        <w:rPr>
          <w:rFonts w:ascii="Times New Roman" w:hAnsi="Times New Roman" w:cs="Times New Roman"/>
          <w:color w:val="365F91"/>
          <w:sz w:val="24"/>
          <w:szCs w:val="24"/>
        </w:rPr>
      </w:pPr>
    </w:p>
    <w:p w:rsidR="00B97A2A" w:rsidRDefault="00B97A2A" w:rsidP="00B97A2A">
      <w:pPr>
        <w:ind w:left="1530" w:hanging="1174"/>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B97A2A">
        <w:rPr>
          <w:rFonts w:ascii="Times New Roman" w:hAnsi="Times New Roman" w:cs="Times New Roman"/>
          <w:bCs/>
          <w:color w:val="365F91"/>
          <w:sz w:val="24"/>
          <w:szCs w:val="24"/>
        </w:rPr>
        <w:t>___</w:t>
      </w:r>
      <w:r w:rsidR="004476FB">
        <w:rPr>
          <w:rFonts w:ascii="Times New Roman" w:hAnsi="Times New Roman" w:cs="Times New Roman"/>
          <w:bCs/>
          <w:color w:val="365F91"/>
          <w:sz w:val="24"/>
          <w:szCs w:val="24"/>
        </w:rPr>
        <w:t xml:space="preserve"> </w:t>
      </w:r>
      <w:r w:rsidRPr="00B97A2A">
        <w:rPr>
          <w:rFonts w:ascii="Times New Roman" w:hAnsi="Times New Roman" w:cs="Times New Roman"/>
          <w:color w:val="365F91"/>
          <w:sz w:val="24"/>
          <w:szCs w:val="24"/>
        </w:rPr>
        <w:t>The procedure and assumptions for establishing CBM for each ATC Path or Flowgate.</w:t>
      </w:r>
    </w:p>
    <w:p w:rsidR="00B97A2A" w:rsidRPr="00B97A2A" w:rsidRDefault="00B97A2A" w:rsidP="00B97A2A">
      <w:pPr>
        <w:ind w:left="1530" w:hanging="1174"/>
        <w:rPr>
          <w:rFonts w:ascii="Times New Roman" w:hAnsi="Times New Roman" w:cs="Times New Roman"/>
          <w:color w:val="365F91"/>
          <w:sz w:val="24"/>
          <w:szCs w:val="24"/>
        </w:rPr>
      </w:pPr>
    </w:p>
    <w:p w:rsidR="00B97A2A" w:rsidRPr="00B97A2A" w:rsidRDefault="00B97A2A" w:rsidP="00B97A2A">
      <w:pPr>
        <w:ind w:left="1530" w:hanging="1174"/>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Pr="00B97A2A">
        <w:rPr>
          <w:rFonts w:ascii="Times New Roman" w:hAnsi="Times New Roman" w:cs="Times New Roman"/>
          <w:color w:val="365F91"/>
          <w:sz w:val="24"/>
          <w:szCs w:val="24"/>
        </w:rPr>
        <w:t xml:space="preserve"> </w:t>
      </w:r>
      <w:r w:rsidRPr="00B97A2A">
        <w:rPr>
          <w:rFonts w:ascii="Times New Roman" w:hAnsi="Times New Roman" w:cs="Times New Roman"/>
          <w:bCs/>
          <w:color w:val="365F91"/>
          <w:sz w:val="24"/>
          <w:szCs w:val="24"/>
        </w:rPr>
        <w:t>___</w:t>
      </w:r>
      <w:r w:rsidRPr="00B97A2A">
        <w:rPr>
          <w:rFonts w:ascii="Times New Roman" w:hAnsi="Times New Roman" w:cs="Times New Roman"/>
          <w:color w:val="365F91"/>
          <w:sz w:val="24"/>
          <w:szCs w:val="24"/>
        </w:rPr>
        <w:t>The procedure for a L</w:t>
      </w:r>
      <w:r w:rsidR="004476FB">
        <w:rPr>
          <w:rFonts w:ascii="Times New Roman" w:hAnsi="Times New Roman" w:cs="Times New Roman"/>
          <w:color w:val="365F91"/>
          <w:sz w:val="24"/>
          <w:szCs w:val="24"/>
        </w:rPr>
        <w:t>SE</w:t>
      </w:r>
      <w:r w:rsidRPr="00B97A2A">
        <w:rPr>
          <w:rFonts w:ascii="Times New Roman" w:hAnsi="Times New Roman" w:cs="Times New Roman"/>
          <w:color w:val="365F91"/>
          <w:sz w:val="24"/>
          <w:szCs w:val="24"/>
        </w:rPr>
        <w:t xml:space="preserve"> or BA to use Transmission capacity set aside as CBM, including the manner in which the T</w:t>
      </w:r>
      <w:r w:rsidR="004476FB">
        <w:rPr>
          <w:rFonts w:ascii="Times New Roman" w:hAnsi="Times New Roman" w:cs="Times New Roman"/>
          <w:color w:val="365F91"/>
          <w:sz w:val="24"/>
          <w:szCs w:val="24"/>
        </w:rPr>
        <w:t>SP</w:t>
      </w:r>
      <w:r w:rsidRPr="00B97A2A">
        <w:rPr>
          <w:rFonts w:ascii="Times New Roman" w:hAnsi="Times New Roman" w:cs="Times New Roman"/>
          <w:color w:val="365F91"/>
          <w:sz w:val="24"/>
          <w:szCs w:val="24"/>
        </w:rPr>
        <w:t xml:space="preserve"> will manage situations where the requested use of CBM exceeds the amount of CBM available. </w:t>
      </w:r>
    </w:p>
    <w:p w:rsidR="000A055F" w:rsidRDefault="000A055F" w:rsidP="00B97A2A">
      <w:pPr>
        <w:ind w:left="1530" w:hanging="1174"/>
        <w:rPr>
          <w:rFonts w:ascii="Times New Roman" w:hAnsi="Times New Roman" w:cs="Times New Roman"/>
          <w:b/>
          <w:bCs/>
          <w:color w:val="264D74"/>
          <w:sz w:val="24"/>
          <w:szCs w:val="24"/>
        </w:rPr>
      </w:pPr>
    </w:p>
    <w:p w:rsidR="00001BFE" w:rsidRPr="001F467C" w:rsidRDefault="00001BFE" w:rsidP="00796AE9">
      <w:pP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001BFE" w:rsidRPr="001F467C" w:rsidTr="00B060A0">
        <w:tc>
          <w:tcPr>
            <w:tcW w:w="7848" w:type="dxa"/>
            <w:tcBorders>
              <w:top w:val="single" w:sz="8" w:space="0" w:color="4F81BD"/>
              <w:left w:val="nil"/>
              <w:bottom w:val="single" w:sz="8" w:space="0" w:color="4F81BD"/>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001BFE" w:rsidRPr="001F467C" w:rsidRDefault="00001BF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001BFE" w:rsidRPr="001F467C" w:rsidRDefault="00001BF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001BFE" w:rsidRPr="001F467C" w:rsidTr="00B060A0">
        <w:tc>
          <w:tcPr>
            <w:tcW w:w="7848" w:type="dxa"/>
            <w:tcBorders>
              <w:top w:val="nil"/>
              <w:left w:val="nil"/>
              <w:bottom w:val="nil"/>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001BFE" w:rsidRPr="001F467C" w:rsidTr="00B060A0">
        <w:tc>
          <w:tcPr>
            <w:tcW w:w="7848" w:type="dxa"/>
            <w:tcBorders>
              <w:top w:val="nil"/>
              <w:left w:val="nil"/>
              <w:bottom w:val="nil"/>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001BFE" w:rsidRPr="001F467C" w:rsidTr="00B060A0">
        <w:tc>
          <w:tcPr>
            <w:tcW w:w="7848" w:type="dxa"/>
            <w:tcBorders>
              <w:top w:val="nil"/>
              <w:left w:val="nil"/>
              <w:bottom w:val="single" w:sz="8" w:space="0" w:color="4F81BD"/>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01BFE" w:rsidRDefault="00001BFE" w:rsidP="00001BFE">
      <w:pPr>
        <w:widowControl w:val="0"/>
        <w:spacing w:line="281" w:lineRule="exact"/>
        <w:rPr>
          <w:rFonts w:ascii="Times New Roman" w:hAnsi="Times New Roman" w:cs="Times New Roman"/>
          <w:sz w:val="24"/>
          <w:szCs w:val="24"/>
        </w:rPr>
      </w:pPr>
    </w:p>
    <w:p w:rsidR="008C3D4D" w:rsidRDefault="008C3D4D" w:rsidP="00001BFE">
      <w:pPr>
        <w:widowControl w:val="0"/>
        <w:spacing w:line="281" w:lineRule="exact"/>
        <w:rPr>
          <w:rFonts w:ascii="Times New Roman" w:hAnsi="Times New Roman" w:cs="Times New Roman"/>
          <w:sz w:val="24"/>
          <w:szCs w:val="24"/>
        </w:rPr>
      </w:pPr>
    </w:p>
    <w:p w:rsidR="008C3D4D" w:rsidRPr="001F467C" w:rsidRDefault="008C3D4D" w:rsidP="00001BFE">
      <w:pPr>
        <w:widowControl w:val="0"/>
        <w:spacing w:line="281" w:lineRule="exact"/>
        <w:rPr>
          <w:rFonts w:ascii="Times New Roman" w:hAnsi="Times New Roman" w:cs="Times New Roman"/>
          <w:sz w:val="24"/>
          <w:szCs w:val="24"/>
        </w:rPr>
      </w:pPr>
    </w:p>
    <w:p w:rsidR="001D5BBD" w:rsidRPr="001D5BBD" w:rsidRDefault="001D5BBD" w:rsidP="001D5BBD">
      <w:pPr>
        <w:pStyle w:val="Requirement"/>
      </w:pPr>
      <w:r w:rsidRPr="001D5BBD">
        <w:t>The Transmission Service Provider that maintains CBM shall make available its current CBMID to the Transmission Operators, Transmission Service Providers, Reliability Coordinators, Transmission Planners, Resource Planners, and Planning Coordinators that are within or adjacent to the Transmission Service Provider’s area, and to the Load Serving Entities and Balancing Authorities within the Transmission Service Provider’s area, and notify those entities of any changes to the CBMID prior to the effective date of the change. [</w:t>
      </w:r>
      <w:r w:rsidRPr="001D5BBD">
        <w:rPr>
          <w:i/>
        </w:rPr>
        <w:t>Violation Risk Factor: Lower</w:t>
      </w:r>
      <w:r w:rsidRPr="001D5BBD">
        <w:t>] [</w:t>
      </w:r>
      <w:r w:rsidRPr="001D5BBD">
        <w:rPr>
          <w:i/>
        </w:rPr>
        <w:t>Time Horizon: Operations Planning</w:t>
      </w:r>
      <w:r w:rsidRPr="001D5BBD">
        <w:t xml:space="preserve">] </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8C3D4D" w:rsidRPr="008B3775" w:rsidRDefault="008C3D4D" w:rsidP="008C3D4D">
      <w:pPr>
        <w:pStyle w:val="Heading1"/>
        <w:rPr>
          <w:sz w:val="32"/>
          <w:szCs w:val="32"/>
        </w:rPr>
      </w:pPr>
      <w:r w:rsidRPr="008B3775">
        <w:rPr>
          <w:sz w:val="32"/>
          <w:szCs w:val="32"/>
        </w:rPr>
        <w:t>R2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2D1C0A">
      <w:pPr>
        <w:pStyle w:val="Requirement"/>
        <w:numPr>
          <w:ilvl w:val="0"/>
          <w:numId w:val="0"/>
        </w:numPr>
        <w:tabs>
          <w:tab w:val="left" w:pos="2592"/>
        </w:tabs>
        <w:ind w:left="720" w:hanging="720"/>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2D1C0A" w:rsidP="002D1C0A">
      <w:pPr>
        <w:pStyle w:val="Requirement"/>
        <w:numPr>
          <w:ilvl w:val="0"/>
          <w:numId w:val="0"/>
        </w:numPr>
        <w:tabs>
          <w:tab w:val="left" w:pos="2592"/>
        </w:tabs>
        <w:ind w:left="720" w:hanging="720"/>
      </w:pPr>
    </w:p>
    <w:p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7F6C77">
        <w:rPr>
          <w:rFonts w:ascii="Times New Roman" w:hAnsi="Times New Roman" w:cs="Times New Roman"/>
          <w:b/>
          <w:bCs/>
          <w:color w:val="264D74"/>
          <w:sz w:val="24"/>
          <w:szCs w:val="24"/>
        </w:rPr>
        <w:t>MOD-004</w:t>
      </w:r>
      <w:r w:rsidR="001D0C8A">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R2</w:t>
      </w:r>
    </w:p>
    <w:p w:rsidR="005E50A4" w:rsidRPr="001F467C" w:rsidRDefault="005E50A4" w:rsidP="005E50A4">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B97A2A" w:rsidRPr="00B97A2A" w:rsidRDefault="005E50A4" w:rsidP="00B97A2A">
      <w:pPr>
        <w:ind w:left="1560" w:hanging="120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796AE9">
        <w:rPr>
          <w:rFonts w:ascii="Times New Roman" w:hAnsi="Times New Roman" w:cs="Times New Roman"/>
          <w:color w:val="365F91"/>
          <w:sz w:val="24"/>
          <w:szCs w:val="24"/>
        </w:rPr>
        <w:t>Verify t</w:t>
      </w:r>
      <w:r w:rsidR="00B97A2A" w:rsidRPr="00B97A2A">
        <w:rPr>
          <w:rFonts w:ascii="Times New Roman" w:hAnsi="Times New Roman" w:cs="Times New Roman"/>
          <w:color w:val="365F91"/>
          <w:sz w:val="24"/>
          <w:szCs w:val="24"/>
        </w:rPr>
        <w:t>he T</w:t>
      </w:r>
      <w:r w:rsidR="0052337C">
        <w:rPr>
          <w:rFonts w:ascii="Times New Roman" w:hAnsi="Times New Roman" w:cs="Times New Roman"/>
          <w:color w:val="365F91"/>
          <w:sz w:val="24"/>
          <w:szCs w:val="24"/>
        </w:rPr>
        <w:t>SP</w:t>
      </w:r>
      <w:r w:rsidR="00B97A2A" w:rsidRPr="00B97A2A">
        <w:rPr>
          <w:rFonts w:ascii="Times New Roman" w:hAnsi="Times New Roman" w:cs="Times New Roman"/>
          <w:color w:val="365F91"/>
          <w:sz w:val="24"/>
          <w:szCs w:val="24"/>
        </w:rPr>
        <w:t xml:space="preserve"> that maintains CBM ma</w:t>
      </w:r>
      <w:r w:rsidR="00796AE9">
        <w:rPr>
          <w:rFonts w:ascii="Times New Roman" w:hAnsi="Times New Roman" w:cs="Times New Roman"/>
          <w:color w:val="365F91"/>
          <w:sz w:val="24"/>
          <w:szCs w:val="24"/>
        </w:rPr>
        <w:t>d</w:t>
      </w:r>
      <w:r w:rsidR="00B97A2A" w:rsidRPr="00B97A2A">
        <w:rPr>
          <w:rFonts w:ascii="Times New Roman" w:hAnsi="Times New Roman" w:cs="Times New Roman"/>
          <w:color w:val="365F91"/>
          <w:sz w:val="24"/>
          <w:szCs w:val="24"/>
        </w:rPr>
        <w:t>e available its current CBMID to the T</w:t>
      </w:r>
      <w:r w:rsidR="0052337C">
        <w:rPr>
          <w:rFonts w:ascii="Times New Roman" w:hAnsi="Times New Roman" w:cs="Times New Roman"/>
          <w:color w:val="365F91"/>
          <w:sz w:val="24"/>
          <w:szCs w:val="24"/>
        </w:rPr>
        <w:t>OP, TSPs</w:t>
      </w:r>
      <w:r w:rsidR="00B97A2A" w:rsidRPr="00B97A2A">
        <w:rPr>
          <w:rFonts w:ascii="Times New Roman" w:hAnsi="Times New Roman" w:cs="Times New Roman"/>
          <w:color w:val="365F91"/>
          <w:sz w:val="24"/>
          <w:szCs w:val="24"/>
        </w:rPr>
        <w:t>, RC</w:t>
      </w:r>
      <w:r w:rsidR="0052337C">
        <w:rPr>
          <w:rFonts w:ascii="Times New Roman" w:hAnsi="Times New Roman" w:cs="Times New Roman"/>
          <w:color w:val="365F91"/>
          <w:sz w:val="24"/>
          <w:szCs w:val="24"/>
        </w:rPr>
        <w:t>s, TP</w:t>
      </w:r>
      <w:r w:rsidR="00B97A2A" w:rsidRPr="00B97A2A">
        <w:rPr>
          <w:rFonts w:ascii="Times New Roman" w:hAnsi="Times New Roman" w:cs="Times New Roman"/>
          <w:color w:val="365F91"/>
          <w:sz w:val="24"/>
          <w:szCs w:val="24"/>
        </w:rPr>
        <w:t>s, R</w:t>
      </w:r>
      <w:r w:rsidR="0052337C">
        <w:rPr>
          <w:rFonts w:ascii="Times New Roman" w:hAnsi="Times New Roman" w:cs="Times New Roman"/>
          <w:color w:val="365F91"/>
          <w:sz w:val="24"/>
          <w:szCs w:val="24"/>
        </w:rPr>
        <w:t>P</w:t>
      </w:r>
      <w:r w:rsidR="00B97A2A" w:rsidRPr="00B97A2A">
        <w:rPr>
          <w:rFonts w:ascii="Times New Roman" w:hAnsi="Times New Roman" w:cs="Times New Roman"/>
          <w:color w:val="365F91"/>
          <w:sz w:val="24"/>
          <w:szCs w:val="24"/>
        </w:rPr>
        <w:t>s, and Planning Coordinators that are within or adjacent to the T</w:t>
      </w:r>
      <w:r w:rsidR="0052337C">
        <w:rPr>
          <w:rFonts w:ascii="Times New Roman" w:hAnsi="Times New Roman" w:cs="Times New Roman"/>
          <w:color w:val="365F91"/>
          <w:sz w:val="24"/>
          <w:szCs w:val="24"/>
        </w:rPr>
        <w:t>SP</w:t>
      </w:r>
      <w:r w:rsidR="00B97A2A" w:rsidRPr="00B97A2A">
        <w:rPr>
          <w:rFonts w:ascii="Times New Roman" w:hAnsi="Times New Roman" w:cs="Times New Roman"/>
          <w:color w:val="365F91"/>
          <w:sz w:val="24"/>
          <w:szCs w:val="24"/>
        </w:rPr>
        <w:t>’s area, and to the L</w:t>
      </w:r>
      <w:r w:rsidR="0052337C">
        <w:rPr>
          <w:rFonts w:ascii="Times New Roman" w:hAnsi="Times New Roman" w:cs="Times New Roman"/>
          <w:color w:val="365F91"/>
          <w:sz w:val="24"/>
          <w:szCs w:val="24"/>
        </w:rPr>
        <w:t>SE</w:t>
      </w:r>
      <w:r w:rsidR="00B97A2A" w:rsidRPr="00B97A2A">
        <w:rPr>
          <w:rFonts w:ascii="Times New Roman" w:hAnsi="Times New Roman" w:cs="Times New Roman"/>
          <w:color w:val="365F91"/>
          <w:sz w:val="24"/>
          <w:szCs w:val="24"/>
        </w:rPr>
        <w:t xml:space="preserve"> and BAs within the T</w:t>
      </w:r>
      <w:r w:rsidR="0052337C">
        <w:rPr>
          <w:rFonts w:ascii="Times New Roman" w:hAnsi="Times New Roman" w:cs="Times New Roman"/>
          <w:color w:val="365F91"/>
          <w:sz w:val="24"/>
          <w:szCs w:val="24"/>
        </w:rPr>
        <w:t>SP</w:t>
      </w:r>
      <w:r w:rsidR="00796AE9">
        <w:rPr>
          <w:rFonts w:ascii="Times New Roman" w:hAnsi="Times New Roman" w:cs="Times New Roman"/>
          <w:color w:val="365F91"/>
          <w:sz w:val="24"/>
          <w:szCs w:val="24"/>
        </w:rPr>
        <w:t>’s area, and notified</w:t>
      </w:r>
      <w:r w:rsidR="00B97A2A" w:rsidRPr="00B97A2A">
        <w:rPr>
          <w:rFonts w:ascii="Times New Roman" w:hAnsi="Times New Roman" w:cs="Times New Roman"/>
          <w:color w:val="365F91"/>
          <w:sz w:val="24"/>
          <w:szCs w:val="24"/>
        </w:rPr>
        <w:t xml:space="preserve"> those entities of any changes to the CBMID prior to the effective date of the change. </w:t>
      </w:r>
    </w:p>
    <w:p w:rsidR="005E50A4" w:rsidRPr="001F467C" w:rsidRDefault="005E50A4" w:rsidP="00796AE9">
      <w:pPr>
        <w:rPr>
          <w:rFonts w:ascii="Times New Roman" w:hAnsi="Times New Roman" w:cs="Times New Roman"/>
          <w:sz w:val="24"/>
          <w:szCs w:val="24"/>
        </w:rPr>
      </w:pPr>
      <w:r w:rsidRPr="005E50A4">
        <w:rPr>
          <w:rFonts w:ascii="Times New Roman" w:hAnsi="Times New Roman" w:cs="Times New Roman"/>
          <w:bCs/>
          <w:color w:val="365F91"/>
          <w:sz w:val="24"/>
          <w:szCs w:val="24"/>
        </w:rPr>
        <w:t xml:space="preserve">          </w:t>
      </w: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5E50A4" w:rsidRPr="001F467C" w:rsidTr="00B060A0">
        <w:tc>
          <w:tcPr>
            <w:tcW w:w="78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5E50A4" w:rsidRPr="001F467C" w:rsidTr="00B060A0">
        <w:tc>
          <w:tcPr>
            <w:tcW w:w="78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5E50A4" w:rsidRPr="001F467C" w:rsidRDefault="005E50A4" w:rsidP="00883445">
      <w:pPr>
        <w:widowControl w:val="0"/>
        <w:tabs>
          <w:tab w:val="left" w:pos="60"/>
        </w:tabs>
        <w:spacing w:line="284" w:lineRule="exact"/>
        <w:rPr>
          <w:rFonts w:ascii="Times New Roman" w:hAnsi="Times New Roman" w:cs="Times New Roman"/>
          <w:sz w:val="24"/>
          <w:szCs w:val="24"/>
        </w:rPr>
      </w:pPr>
      <w:r w:rsidRPr="001F467C">
        <w:rPr>
          <w:rFonts w:ascii="Times New Roman" w:hAnsi="Times New Roman" w:cs="Times New Roman"/>
          <w:sz w:val="24"/>
          <w:szCs w:val="24"/>
        </w:rPr>
        <w:t xml:space="preserve">  </w:t>
      </w:r>
    </w:p>
    <w:p w:rsidR="00001BFE" w:rsidRPr="001F467C" w:rsidRDefault="00001BFE" w:rsidP="002D1C0A">
      <w:pPr>
        <w:pStyle w:val="Requirement"/>
        <w:numPr>
          <w:ilvl w:val="0"/>
          <w:numId w:val="0"/>
        </w:numPr>
        <w:tabs>
          <w:tab w:val="left" w:pos="2592"/>
        </w:tabs>
        <w:ind w:left="720" w:hanging="720"/>
      </w:pPr>
    </w:p>
    <w:p w:rsidR="00491C0E" w:rsidRDefault="00491C0E" w:rsidP="00491C0E">
      <w:pPr>
        <w:pStyle w:val="Requirement"/>
        <w:tabs>
          <w:tab w:val="clear" w:pos="934"/>
          <w:tab w:val="num" w:pos="900"/>
          <w:tab w:val="num" w:pos="936"/>
          <w:tab w:val="left" w:pos="2592"/>
        </w:tabs>
        <w:ind w:left="900" w:hanging="540"/>
      </w:pPr>
      <w:r w:rsidRPr="00271739">
        <w:t xml:space="preserve">Each </w:t>
      </w:r>
      <w:r>
        <w:t>Load-Serving</w:t>
      </w:r>
      <w:r w:rsidRPr="00271739">
        <w:t xml:space="preserve"> Entity determining the need for Transmission </w:t>
      </w:r>
      <w:r>
        <w:t>c</w:t>
      </w:r>
      <w:r w:rsidRPr="00271739">
        <w:t>apacity to be set aside as CBM for imports into</w:t>
      </w:r>
      <w:r>
        <w:t xml:space="preserve"> a Balancing Authority Area shall determine that need by: </w:t>
      </w:r>
      <w:r w:rsidRPr="00603B2C">
        <w:t>[</w:t>
      </w:r>
      <w:r w:rsidRPr="004B00F2">
        <w:rPr>
          <w:i/>
        </w:rPr>
        <w:t>Violation Risk Factor: Lower</w:t>
      </w:r>
      <w:r w:rsidRPr="00603B2C">
        <w:t>] [</w:t>
      </w:r>
      <w:r w:rsidRPr="004B00F2">
        <w:rPr>
          <w:i/>
        </w:rPr>
        <w:t>Time Horizon: Operations Planning</w:t>
      </w:r>
      <w:r w:rsidRPr="00603B2C">
        <w:t>]</w:t>
      </w:r>
    </w:p>
    <w:p w:rsidR="00491C0E" w:rsidRDefault="00491C0E" w:rsidP="00491C0E">
      <w:pPr>
        <w:pStyle w:val="Requirement"/>
        <w:numPr>
          <w:ilvl w:val="1"/>
          <w:numId w:val="5"/>
        </w:numPr>
        <w:tabs>
          <w:tab w:val="clear" w:pos="3240"/>
          <w:tab w:val="left" w:pos="-4680"/>
          <w:tab w:val="left" w:pos="-1800"/>
          <w:tab w:val="left" w:pos="1620"/>
          <w:tab w:val="num" w:pos="1728"/>
        </w:tabs>
        <w:ind w:left="1728" w:hanging="468"/>
      </w:pPr>
      <w:r>
        <w:t>Using one or more of the following to determine the GCIR:</w:t>
      </w:r>
    </w:p>
    <w:p w:rsidR="00491C0E" w:rsidRDefault="00796AE9" w:rsidP="00491C0E">
      <w:pPr>
        <w:pStyle w:val="Requirement"/>
        <w:numPr>
          <w:ilvl w:val="2"/>
          <w:numId w:val="18"/>
        </w:numPr>
        <w:tabs>
          <w:tab w:val="clear" w:pos="1728"/>
          <w:tab w:val="clear" w:pos="3240"/>
          <w:tab w:val="left" w:pos="0"/>
        </w:tabs>
        <w:ind w:left="1980"/>
      </w:pPr>
      <w:r>
        <w:t xml:space="preserve"> </w:t>
      </w:r>
      <w:r w:rsidR="00491C0E">
        <w:t>Loss of Load Expectation (LOLE) studies</w:t>
      </w:r>
    </w:p>
    <w:p w:rsidR="00491C0E" w:rsidRDefault="00796AE9" w:rsidP="00491C0E">
      <w:pPr>
        <w:pStyle w:val="Requirement"/>
        <w:numPr>
          <w:ilvl w:val="2"/>
          <w:numId w:val="18"/>
        </w:numPr>
        <w:tabs>
          <w:tab w:val="clear" w:pos="1728"/>
          <w:tab w:val="clear" w:pos="3240"/>
          <w:tab w:val="left" w:pos="0"/>
        </w:tabs>
        <w:ind w:left="1980"/>
      </w:pPr>
      <w:r>
        <w:t xml:space="preserve"> </w:t>
      </w:r>
      <w:r w:rsidR="00491C0E">
        <w:t>Loss of Load Probability (LOLP) studies</w:t>
      </w:r>
    </w:p>
    <w:p w:rsidR="00491C0E" w:rsidRDefault="00796AE9" w:rsidP="00491C0E">
      <w:pPr>
        <w:pStyle w:val="Requirement"/>
        <w:numPr>
          <w:ilvl w:val="2"/>
          <w:numId w:val="18"/>
        </w:numPr>
        <w:tabs>
          <w:tab w:val="clear" w:pos="1728"/>
          <w:tab w:val="clear" w:pos="3240"/>
          <w:tab w:val="left" w:pos="0"/>
        </w:tabs>
        <w:ind w:left="1980"/>
      </w:pPr>
      <w:r>
        <w:t xml:space="preserve"> </w:t>
      </w:r>
      <w:r w:rsidR="00491C0E">
        <w:t xml:space="preserve">Deterministic risk-analysis studies </w:t>
      </w:r>
    </w:p>
    <w:p w:rsidR="00491C0E" w:rsidRDefault="00796AE9" w:rsidP="00491C0E">
      <w:pPr>
        <w:pStyle w:val="Requirement"/>
        <w:numPr>
          <w:ilvl w:val="2"/>
          <w:numId w:val="18"/>
        </w:numPr>
        <w:tabs>
          <w:tab w:val="clear" w:pos="1728"/>
          <w:tab w:val="clear" w:pos="3240"/>
          <w:tab w:val="left" w:pos="0"/>
        </w:tabs>
        <w:ind w:left="1980"/>
      </w:pPr>
      <w:r>
        <w:t xml:space="preserve"> </w:t>
      </w:r>
      <w:r w:rsidR="00491C0E">
        <w:t>Reserve margin or</w:t>
      </w:r>
      <w:r w:rsidR="00491C0E" w:rsidRPr="00D553C3">
        <w:t xml:space="preserve"> </w:t>
      </w:r>
      <w:r w:rsidR="00491C0E">
        <w:t xml:space="preserve">resource adequacy requirements established by other entities, such as </w:t>
      </w:r>
      <w:r w:rsidR="00491C0E" w:rsidRPr="00D553C3">
        <w:t>municipalities, state commissions, regional transmission organizations, independent system operators, Regional Reliability Organizations, or regional entities</w:t>
      </w:r>
    </w:p>
    <w:p w:rsidR="00491C0E" w:rsidRDefault="00491C0E" w:rsidP="00491C0E">
      <w:pPr>
        <w:pStyle w:val="Requirement"/>
        <w:numPr>
          <w:ilvl w:val="1"/>
          <w:numId w:val="5"/>
        </w:numPr>
        <w:tabs>
          <w:tab w:val="clear" w:pos="3240"/>
          <w:tab w:val="num" w:pos="-4860"/>
          <w:tab w:val="left" w:pos="-4680"/>
          <w:tab w:val="decimal" w:pos="1620"/>
          <w:tab w:val="num" w:pos="1728"/>
        </w:tabs>
        <w:ind w:left="1620" w:hanging="720"/>
      </w:pPr>
      <w:r>
        <w:t>Identifying expected import path(s) or source region(s).</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360"/>
      </w:pPr>
    </w:p>
    <w:p w:rsidR="008C3D4D" w:rsidRPr="008B3775" w:rsidRDefault="008C3D4D" w:rsidP="008C3D4D">
      <w:pPr>
        <w:pStyle w:val="Heading1"/>
        <w:rPr>
          <w:sz w:val="32"/>
          <w:szCs w:val="32"/>
        </w:rPr>
      </w:pPr>
      <w:r w:rsidRPr="008B3775">
        <w:rPr>
          <w:sz w:val="32"/>
          <w:szCs w:val="32"/>
        </w:rPr>
        <w:t>R</w:t>
      </w:r>
      <w:r>
        <w:rPr>
          <w:sz w:val="32"/>
          <w:szCs w:val="32"/>
        </w:rPr>
        <w:t>3</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Pr="001F467C" w:rsidRDefault="008C3D4D" w:rsidP="002D1C0A">
      <w:pPr>
        <w:pStyle w:val="Requirement"/>
        <w:numPr>
          <w:ilvl w:val="0"/>
          <w:numId w:val="0"/>
        </w:numPr>
        <w:tabs>
          <w:tab w:val="left" w:pos="2592"/>
        </w:tabs>
        <w:ind w:left="360"/>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01BFE" w:rsidRDefault="00001BFE" w:rsidP="002D1C0A">
      <w:pPr>
        <w:pStyle w:val="Requirement"/>
        <w:numPr>
          <w:ilvl w:val="0"/>
          <w:numId w:val="0"/>
        </w:numPr>
        <w:tabs>
          <w:tab w:val="left" w:pos="2592"/>
        </w:tabs>
        <w:ind w:left="360"/>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7F6C77">
        <w:rPr>
          <w:rFonts w:ascii="Times New Roman" w:hAnsi="Times New Roman" w:cs="Times New Roman"/>
          <w:b/>
          <w:bCs/>
          <w:color w:val="264D74"/>
          <w:sz w:val="24"/>
          <w:szCs w:val="24"/>
        </w:rPr>
        <w:t>MOD-004</w:t>
      </w:r>
      <w:r w:rsidR="001D0C8A">
        <w:rPr>
          <w:rFonts w:ascii="Times New Roman" w:hAnsi="Times New Roman" w:cs="Times New Roman"/>
          <w:b/>
          <w:bCs/>
          <w:color w:val="003366"/>
          <w:sz w:val="24"/>
          <w:szCs w:val="24"/>
        </w:rPr>
        <w:t>-1</w:t>
      </w:r>
      <w:r>
        <w:rPr>
          <w:rFonts w:ascii="Times New Roman" w:hAnsi="Times New Roman" w:cs="Times New Roman"/>
          <w:b/>
          <w:bCs/>
          <w:color w:val="003366"/>
          <w:sz w:val="24"/>
          <w:szCs w:val="24"/>
        </w:rPr>
        <w:t xml:space="preserve"> R3</w:t>
      </w:r>
    </w:p>
    <w:p w:rsidR="005E50A4" w:rsidRPr="001F467C" w:rsidRDefault="005E50A4" w:rsidP="005E50A4">
      <w:pPr>
        <w:rPr>
          <w:rFonts w:ascii="Times New Roman" w:hAnsi="Times New Roman" w:cs="Times New Roman"/>
          <w:sz w:val="24"/>
          <w:szCs w:val="24"/>
        </w:rPr>
      </w:pPr>
    </w:p>
    <w:p w:rsidR="005E50A4" w:rsidRPr="005E50A4" w:rsidRDefault="005E50A4" w:rsidP="003A16EC">
      <w:pPr>
        <w:ind w:left="840" w:hanging="48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796AE9">
        <w:rPr>
          <w:rFonts w:ascii="Times New Roman" w:hAnsi="Times New Roman" w:cs="Times New Roman"/>
          <w:color w:val="365F91"/>
          <w:sz w:val="24"/>
          <w:szCs w:val="24"/>
        </w:rPr>
        <w:t xml:space="preserve">Verify </w:t>
      </w:r>
      <w:r w:rsidR="00AE321D">
        <w:rPr>
          <w:rFonts w:ascii="Times New Roman" w:hAnsi="Times New Roman" w:cs="Times New Roman"/>
          <w:color w:val="365F91"/>
          <w:sz w:val="24"/>
          <w:szCs w:val="24"/>
        </w:rPr>
        <w:t>the</w:t>
      </w:r>
      <w:r w:rsidR="001C0409" w:rsidRPr="001C0409">
        <w:rPr>
          <w:rFonts w:ascii="Times New Roman" w:hAnsi="Times New Roman" w:cs="Times New Roman"/>
          <w:color w:val="365F91"/>
          <w:sz w:val="24"/>
          <w:szCs w:val="24"/>
        </w:rPr>
        <w:t xml:space="preserve"> L</w:t>
      </w:r>
      <w:r w:rsidR="0052337C">
        <w:rPr>
          <w:rFonts w:ascii="Times New Roman" w:hAnsi="Times New Roman" w:cs="Times New Roman"/>
          <w:color w:val="365F91"/>
          <w:sz w:val="24"/>
          <w:szCs w:val="24"/>
        </w:rPr>
        <w:t>SE</w:t>
      </w:r>
      <w:r w:rsidR="001C0409" w:rsidRPr="001C0409">
        <w:rPr>
          <w:rFonts w:ascii="Times New Roman" w:hAnsi="Times New Roman" w:cs="Times New Roman"/>
          <w:color w:val="365F91"/>
          <w:sz w:val="24"/>
          <w:szCs w:val="24"/>
        </w:rPr>
        <w:t xml:space="preserve"> determining the need for Transmission capacity to be set aside as CBM for imports into a BA Area determine</w:t>
      </w:r>
      <w:r w:rsidR="00796AE9">
        <w:rPr>
          <w:rFonts w:ascii="Times New Roman" w:hAnsi="Times New Roman" w:cs="Times New Roman"/>
          <w:color w:val="365F91"/>
          <w:sz w:val="24"/>
          <w:szCs w:val="24"/>
        </w:rPr>
        <w:t>d</w:t>
      </w:r>
      <w:r w:rsidR="001C0409" w:rsidRPr="001C0409">
        <w:rPr>
          <w:rFonts w:ascii="Times New Roman" w:hAnsi="Times New Roman" w:cs="Times New Roman"/>
          <w:color w:val="365F91"/>
          <w:sz w:val="24"/>
          <w:szCs w:val="24"/>
        </w:rPr>
        <w:t xml:space="preserve"> that need by: </w:t>
      </w:r>
    </w:p>
    <w:p w:rsidR="005E50A4" w:rsidRPr="005E50A4" w:rsidRDefault="005E50A4" w:rsidP="005E50A4">
      <w:pPr>
        <w:ind w:left="360"/>
        <w:rPr>
          <w:rFonts w:ascii="Times New Roman" w:hAnsi="Times New Roman" w:cs="Times New Roman"/>
          <w:color w:val="365F91"/>
          <w:sz w:val="24"/>
          <w:szCs w:val="24"/>
        </w:rPr>
      </w:pPr>
    </w:p>
    <w:p w:rsidR="00AE321D" w:rsidRDefault="005E50A4" w:rsidP="009067D0">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9067D0" w:rsidRPr="009067D0">
        <w:rPr>
          <w:rFonts w:ascii="Times New Roman" w:hAnsi="Times New Roman" w:cs="Times New Roman"/>
          <w:color w:val="365F91"/>
          <w:sz w:val="24"/>
          <w:szCs w:val="24"/>
        </w:rPr>
        <w:t>Us</w:t>
      </w:r>
      <w:r w:rsidR="005907BB">
        <w:rPr>
          <w:rFonts w:ascii="Times New Roman" w:hAnsi="Times New Roman" w:cs="Times New Roman"/>
          <w:color w:val="365F91"/>
          <w:sz w:val="24"/>
          <w:szCs w:val="24"/>
        </w:rPr>
        <w:t>ing</w:t>
      </w:r>
      <w:r w:rsidR="009067D0" w:rsidRPr="009067D0">
        <w:rPr>
          <w:rFonts w:ascii="Times New Roman" w:hAnsi="Times New Roman" w:cs="Times New Roman"/>
          <w:color w:val="365F91"/>
          <w:sz w:val="24"/>
          <w:szCs w:val="24"/>
        </w:rPr>
        <w:t xml:space="preserve"> one or more of the following to determine the GCIR</w:t>
      </w:r>
      <w:r w:rsidR="00AE321D">
        <w:rPr>
          <w:rFonts w:ascii="Times New Roman" w:hAnsi="Times New Roman" w:cs="Times New Roman"/>
          <w:color w:val="365F91"/>
          <w:sz w:val="24"/>
          <w:szCs w:val="24"/>
        </w:rPr>
        <w:t xml:space="preserve"> (Generation Capability Import </w:t>
      </w:r>
    </w:p>
    <w:p w:rsidR="009067D0" w:rsidRDefault="00AE321D" w:rsidP="009067D0">
      <w:pPr>
        <w:ind w:left="360"/>
        <w:rPr>
          <w:rFonts w:ascii="Times New Roman" w:hAnsi="Times New Roman" w:cs="Times New Roman"/>
          <w:color w:val="365F91"/>
          <w:sz w:val="24"/>
          <w:szCs w:val="24"/>
        </w:rPr>
      </w:pPr>
      <w:r>
        <w:rPr>
          <w:rFonts w:ascii="Times New Roman" w:hAnsi="Times New Roman" w:cs="Times New Roman"/>
          <w:color w:val="365F91"/>
          <w:sz w:val="24"/>
          <w:szCs w:val="24"/>
        </w:rPr>
        <w:t xml:space="preserve">             Requirement)</w:t>
      </w:r>
      <w:r w:rsidR="009067D0" w:rsidRPr="009067D0">
        <w:rPr>
          <w:rFonts w:ascii="Times New Roman" w:hAnsi="Times New Roman" w:cs="Times New Roman"/>
          <w:color w:val="365F91"/>
          <w:sz w:val="24"/>
          <w:szCs w:val="24"/>
        </w:rPr>
        <w:t>:</w:t>
      </w:r>
    </w:p>
    <w:p w:rsidR="00AE321D" w:rsidRDefault="00AE321D" w:rsidP="009067D0">
      <w:pPr>
        <w:ind w:left="360"/>
        <w:rPr>
          <w:rFonts w:ascii="Times New Roman" w:hAnsi="Times New Roman" w:cs="Times New Roman"/>
          <w:color w:val="365F91"/>
          <w:sz w:val="24"/>
          <w:szCs w:val="24"/>
        </w:rPr>
      </w:pPr>
    </w:p>
    <w:p w:rsidR="009067D0" w:rsidRDefault="009067D0" w:rsidP="003A16EC">
      <w:pPr>
        <w:ind w:left="1920"/>
        <w:rPr>
          <w:rFonts w:ascii="Times New Roman" w:hAnsi="Times New Roman" w:cs="Times New Roman"/>
          <w:color w:val="365F91"/>
          <w:sz w:val="24"/>
          <w:szCs w:val="24"/>
        </w:rPr>
      </w:pPr>
      <w:r w:rsidRPr="009067D0">
        <w:rPr>
          <w:rFonts w:ascii="Times New Roman" w:hAnsi="Times New Roman" w:cs="Times New Roman"/>
          <w:bCs/>
          <w:color w:val="365F91"/>
          <w:sz w:val="24"/>
          <w:szCs w:val="24"/>
        </w:rPr>
        <w:t>___</w:t>
      </w:r>
      <w:r w:rsidRPr="009067D0">
        <w:rPr>
          <w:rFonts w:ascii="Times New Roman" w:hAnsi="Times New Roman" w:cs="Times New Roman"/>
          <w:color w:val="365F91"/>
          <w:sz w:val="24"/>
          <w:szCs w:val="24"/>
        </w:rPr>
        <w:t>Loss of Load Expectation (LOLE) studies</w:t>
      </w:r>
    </w:p>
    <w:p w:rsidR="00AE321D" w:rsidRPr="009067D0" w:rsidRDefault="00AE321D" w:rsidP="003A16EC">
      <w:pPr>
        <w:ind w:left="1920"/>
        <w:rPr>
          <w:rFonts w:ascii="Times New Roman" w:hAnsi="Times New Roman" w:cs="Times New Roman"/>
          <w:color w:val="365F91"/>
          <w:sz w:val="24"/>
          <w:szCs w:val="24"/>
        </w:rPr>
      </w:pPr>
    </w:p>
    <w:p w:rsidR="009067D0" w:rsidRDefault="009067D0" w:rsidP="003A16EC">
      <w:pPr>
        <w:ind w:left="1920"/>
        <w:rPr>
          <w:rFonts w:ascii="Times New Roman" w:hAnsi="Times New Roman" w:cs="Times New Roman"/>
          <w:color w:val="365F91"/>
          <w:sz w:val="24"/>
          <w:szCs w:val="24"/>
        </w:rPr>
      </w:pPr>
      <w:r w:rsidRPr="009067D0">
        <w:rPr>
          <w:rFonts w:ascii="Times New Roman" w:hAnsi="Times New Roman" w:cs="Times New Roman"/>
          <w:bCs/>
          <w:color w:val="365F91"/>
          <w:sz w:val="24"/>
          <w:szCs w:val="24"/>
        </w:rPr>
        <w:t>___</w:t>
      </w:r>
      <w:r w:rsidRPr="009067D0">
        <w:rPr>
          <w:rFonts w:ascii="Times New Roman" w:hAnsi="Times New Roman" w:cs="Times New Roman"/>
          <w:color w:val="365F91"/>
          <w:sz w:val="24"/>
          <w:szCs w:val="24"/>
        </w:rPr>
        <w:t>Loss of Load Probability (LOLP) studies</w:t>
      </w:r>
    </w:p>
    <w:p w:rsidR="00AE321D" w:rsidRPr="009067D0" w:rsidRDefault="00AE321D" w:rsidP="003A16EC">
      <w:pPr>
        <w:ind w:left="1920"/>
        <w:rPr>
          <w:rFonts w:ascii="Times New Roman" w:hAnsi="Times New Roman" w:cs="Times New Roman"/>
          <w:color w:val="365F91"/>
          <w:sz w:val="24"/>
          <w:szCs w:val="24"/>
        </w:rPr>
      </w:pPr>
    </w:p>
    <w:p w:rsidR="009067D0" w:rsidRDefault="009067D0" w:rsidP="003A16EC">
      <w:pPr>
        <w:ind w:left="1920"/>
        <w:rPr>
          <w:rFonts w:ascii="Times New Roman" w:hAnsi="Times New Roman" w:cs="Times New Roman"/>
          <w:color w:val="365F91"/>
          <w:sz w:val="24"/>
          <w:szCs w:val="24"/>
        </w:rPr>
      </w:pPr>
      <w:r w:rsidRPr="009067D0">
        <w:rPr>
          <w:rFonts w:ascii="Times New Roman" w:hAnsi="Times New Roman" w:cs="Times New Roman"/>
          <w:bCs/>
          <w:color w:val="365F91"/>
          <w:sz w:val="24"/>
          <w:szCs w:val="24"/>
        </w:rPr>
        <w:t>___</w:t>
      </w:r>
      <w:r w:rsidRPr="009067D0">
        <w:rPr>
          <w:rFonts w:ascii="Times New Roman" w:hAnsi="Times New Roman" w:cs="Times New Roman"/>
          <w:color w:val="365F91"/>
          <w:sz w:val="24"/>
          <w:szCs w:val="24"/>
        </w:rPr>
        <w:t xml:space="preserve">Deterministic risk-analysis studies </w:t>
      </w:r>
    </w:p>
    <w:p w:rsidR="00AE321D" w:rsidRPr="009067D0" w:rsidRDefault="00AE321D" w:rsidP="003A16EC">
      <w:pPr>
        <w:ind w:left="1920"/>
        <w:rPr>
          <w:color w:val="365F91"/>
        </w:rPr>
      </w:pPr>
    </w:p>
    <w:p w:rsidR="009067D0" w:rsidRDefault="009067D0" w:rsidP="00D30B65">
      <w:pPr>
        <w:ind w:left="2280" w:hanging="360"/>
        <w:rPr>
          <w:rFonts w:ascii="Times New Roman" w:hAnsi="Times New Roman" w:cs="Times New Roman"/>
          <w:bCs/>
          <w:color w:val="365F91"/>
          <w:sz w:val="24"/>
          <w:szCs w:val="24"/>
        </w:rPr>
      </w:pPr>
      <w:r w:rsidRPr="009067D0">
        <w:rPr>
          <w:rFonts w:ascii="Times New Roman" w:hAnsi="Times New Roman" w:cs="Times New Roman"/>
          <w:bCs/>
          <w:color w:val="365F91"/>
          <w:sz w:val="24"/>
          <w:szCs w:val="24"/>
        </w:rPr>
        <w:t>___Reserve margin or resource adequacy requirements established by other entities, such as municipalities, state commissions, regional transmission organizations, independent system operators, RRO, or regional entities</w:t>
      </w:r>
    </w:p>
    <w:p w:rsidR="003A16EC" w:rsidRPr="009067D0" w:rsidRDefault="003A16EC" w:rsidP="009067D0">
      <w:pPr>
        <w:ind w:left="1920" w:hanging="360"/>
        <w:rPr>
          <w:rFonts w:ascii="Times New Roman" w:hAnsi="Times New Roman" w:cs="Times New Roman"/>
          <w:bCs/>
          <w:color w:val="365F91"/>
          <w:sz w:val="24"/>
          <w:szCs w:val="24"/>
        </w:rPr>
      </w:pPr>
    </w:p>
    <w:p w:rsidR="003A16EC" w:rsidRPr="003A16EC" w:rsidRDefault="003A16EC" w:rsidP="00796AE9">
      <w:pPr>
        <w:ind w:left="1170"/>
        <w:rPr>
          <w:rFonts w:ascii="Times New Roman" w:hAnsi="Times New Roman" w:cs="Times New Roman"/>
          <w:bCs/>
          <w:color w:val="365F91"/>
          <w:sz w:val="24"/>
          <w:szCs w:val="24"/>
        </w:rPr>
      </w:pPr>
      <w:r w:rsidRPr="003A16EC">
        <w:rPr>
          <w:rFonts w:ascii="Times New Roman" w:hAnsi="Times New Roman" w:cs="Times New Roman"/>
          <w:bCs/>
          <w:color w:val="365F91"/>
          <w:sz w:val="24"/>
          <w:szCs w:val="24"/>
        </w:rPr>
        <w:t>___Identifying expected import path(s) or source region(s).</w:t>
      </w:r>
    </w:p>
    <w:p w:rsidR="009067D0" w:rsidRPr="009067D0" w:rsidRDefault="009067D0" w:rsidP="00796AE9">
      <w:pPr>
        <w:ind w:left="1170"/>
        <w:rPr>
          <w:rFonts w:ascii="Times New Roman" w:hAnsi="Times New Roman" w:cs="Times New Roman"/>
          <w:bCs/>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5E50A4" w:rsidRPr="001F467C" w:rsidTr="00B060A0">
        <w:tc>
          <w:tcPr>
            <w:tcW w:w="78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Title</w:t>
            </w:r>
          </w:p>
        </w:tc>
        <w:tc>
          <w:tcPr>
            <w:tcW w:w="1620"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Date</w:t>
            </w:r>
          </w:p>
        </w:tc>
        <w:tc>
          <w:tcPr>
            <w:tcW w:w="15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Version</w:t>
            </w:r>
          </w:p>
        </w:tc>
      </w:tr>
      <w:tr w:rsidR="005E50A4" w:rsidRPr="001F467C" w:rsidTr="00B060A0">
        <w:tc>
          <w:tcPr>
            <w:tcW w:w="78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620"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5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r>
      <w:tr w:rsidR="005E50A4" w:rsidRPr="001F467C" w:rsidTr="00B060A0">
        <w:tc>
          <w:tcPr>
            <w:tcW w:w="78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620"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5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r>
      <w:tr w:rsidR="005E50A4" w:rsidRPr="001F467C" w:rsidTr="00B060A0">
        <w:tc>
          <w:tcPr>
            <w:tcW w:w="78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620"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5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r>
    </w:tbl>
    <w:p w:rsidR="005E50A4" w:rsidRDefault="005E50A4" w:rsidP="005E50A4">
      <w:pPr>
        <w:rPr>
          <w:rFonts w:ascii="Times New Roman" w:hAnsi="Times New Roman" w:cs="Times New Roman"/>
          <w:b/>
          <w:color w:val="003366"/>
          <w:sz w:val="24"/>
          <w:szCs w:val="24"/>
        </w:rPr>
      </w:pPr>
    </w:p>
    <w:p w:rsidR="008C3D4D" w:rsidRDefault="008C3D4D" w:rsidP="005E50A4">
      <w:pPr>
        <w:rPr>
          <w:rFonts w:ascii="Times New Roman" w:hAnsi="Times New Roman" w:cs="Times New Roman"/>
          <w:b/>
          <w:color w:val="003366"/>
          <w:sz w:val="24"/>
          <w:szCs w:val="24"/>
        </w:rPr>
      </w:pPr>
    </w:p>
    <w:p w:rsidR="008C3D4D" w:rsidRPr="001F467C" w:rsidRDefault="008C3D4D" w:rsidP="005E50A4">
      <w:pPr>
        <w:rPr>
          <w:rFonts w:ascii="Times New Roman" w:hAnsi="Times New Roman" w:cs="Times New Roman"/>
          <w:b/>
          <w:color w:val="003366"/>
          <w:sz w:val="24"/>
          <w:szCs w:val="24"/>
        </w:rPr>
      </w:pPr>
    </w:p>
    <w:p w:rsidR="00491C0E" w:rsidRDefault="00491C0E" w:rsidP="00491C0E">
      <w:pPr>
        <w:pStyle w:val="Requirement"/>
        <w:tabs>
          <w:tab w:val="clear" w:pos="934"/>
          <w:tab w:val="num" w:pos="900"/>
          <w:tab w:val="num" w:pos="936"/>
          <w:tab w:val="left" w:pos="2592"/>
        </w:tabs>
        <w:ind w:left="900" w:hanging="540"/>
      </w:pPr>
      <w:r>
        <w:t>Each Resource Planner determining the need for Transmission capacity to be set aside as CBM for imports into a Balancing Authority Area shall</w:t>
      </w:r>
      <w:r w:rsidRPr="005A321E">
        <w:t xml:space="preserve"> </w:t>
      </w:r>
      <w:r>
        <w:t>determine that need by:</w:t>
      </w:r>
      <w:r w:rsidRPr="00603B2C">
        <w:t xml:space="preserve"> [</w:t>
      </w:r>
      <w:r w:rsidRPr="004B00F2">
        <w:rPr>
          <w:i/>
        </w:rPr>
        <w:t>Violation Risk Factor: Lower</w:t>
      </w:r>
      <w:r w:rsidRPr="00603B2C">
        <w:t>] [</w:t>
      </w:r>
      <w:r w:rsidRPr="004B00F2">
        <w:rPr>
          <w:i/>
        </w:rPr>
        <w:t>Time Horizon: Operations Planning</w:t>
      </w:r>
      <w:r w:rsidRPr="00603B2C">
        <w:t>]</w:t>
      </w:r>
    </w:p>
    <w:p w:rsidR="00491C0E" w:rsidRDefault="00491C0E" w:rsidP="00491C0E">
      <w:pPr>
        <w:pStyle w:val="Requirement"/>
        <w:numPr>
          <w:ilvl w:val="1"/>
          <w:numId w:val="5"/>
        </w:numPr>
        <w:tabs>
          <w:tab w:val="clear" w:pos="3240"/>
          <w:tab w:val="left" w:pos="-4860"/>
          <w:tab w:val="left" w:pos="-1800"/>
          <w:tab w:val="num" w:pos="1620"/>
          <w:tab w:val="num" w:pos="1728"/>
        </w:tabs>
        <w:ind w:left="1728" w:hanging="468"/>
      </w:pPr>
      <w:r>
        <w:t>Using one or more of the following to determine the GCIR:</w:t>
      </w:r>
    </w:p>
    <w:p w:rsidR="00491C0E" w:rsidRDefault="00491C0E" w:rsidP="00491C0E">
      <w:pPr>
        <w:pStyle w:val="Requirement"/>
        <w:numPr>
          <w:ilvl w:val="2"/>
          <w:numId w:val="18"/>
        </w:numPr>
        <w:tabs>
          <w:tab w:val="clear" w:pos="1728"/>
          <w:tab w:val="num" w:pos="1980"/>
          <w:tab w:val="left" w:pos="2592"/>
        </w:tabs>
        <w:ind w:left="1980"/>
      </w:pPr>
      <w:r>
        <w:t>Loss of Load Expectation (LOLE) studies</w:t>
      </w:r>
    </w:p>
    <w:p w:rsidR="00491C0E" w:rsidRDefault="00491C0E" w:rsidP="00491C0E">
      <w:pPr>
        <w:pStyle w:val="Requirement"/>
        <w:numPr>
          <w:ilvl w:val="2"/>
          <w:numId w:val="18"/>
        </w:numPr>
        <w:tabs>
          <w:tab w:val="clear" w:pos="1728"/>
          <w:tab w:val="num" w:pos="1980"/>
          <w:tab w:val="left" w:pos="2592"/>
        </w:tabs>
        <w:ind w:left="1980"/>
      </w:pPr>
      <w:r>
        <w:t>Loss of Load Probability (LOLP) studies</w:t>
      </w:r>
    </w:p>
    <w:p w:rsidR="00491C0E" w:rsidRDefault="00491C0E" w:rsidP="00491C0E">
      <w:pPr>
        <w:pStyle w:val="Requirement"/>
        <w:numPr>
          <w:ilvl w:val="2"/>
          <w:numId w:val="18"/>
        </w:numPr>
        <w:tabs>
          <w:tab w:val="clear" w:pos="1728"/>
          <w:tab w:val="num" w:pos="1980"/>
          <w:tab w:val="left" w:pos="2592"/>
        </w:tabs>
        <w:ind w:left="1980"/>
      </w:pPr>
      <w:r>
        <w:t xml:space="preserve">Deterministic risk-analysis studies </w:t>
      </w:r>
    </w:p>
    <w:p w:rsidR="00491C0E" w:rsidRDefault="00491C0E" w:rsidP="00491C0E">
      <w:pPr>
        <w:pStyle w:val="Requirement"/>
        <w:numPr>
          <w:ilvl w:val="2"/>
          <w:numId w:val="18"/>
        </w:numPr>
        <w:tabs>
          <w:tab w:val="clear" w:pos="1728"/>
          <w:tab w:val="num" w:pos="1980"/>
          <w:tab w:val="left" w:pos="2592"/>
        </w:tabs>
        <w:ind w:left="1980"/>
      </w:pPr>
      <w:r>
        <w:t>Reserve margin or</w:t>
      </w:r>
      <w:r w:rsidRPr="00D553C3">
        <w:t xml:space="preserve"> </w:t>
      </w:r>
      <w:r>
        <w:t xml:space="preserve">resource adequacy requirements established by other entities, such as </w:t>
      </w:r>
      <w:r w:rsidRPr="00D553C3">
        <w:t>municipalities, state commissions, regional transmission organizations, independent system operators, Regional Reliability Organizations, or regional entities</w:t>
      </w:r>
    </w:p>
    <w:p w:rsidR="00491C0E" w:rsidRDefault="00491C0E" w:rsidP="00491C0E">
      <w:pPr>
        <w:pStyle w:val="Requirement"/>
        <w:numPr>
          <w:ilvl w:val="1"/>
          <w:numId w:val="5"/>
        </w:numPr>
        <w:tabs>
          <w:tab w:val="clear" w:pos="3240"/>
          <w:tab w:val="left" w:pos="-4860"/>
          <w:tab w:val="left" w:pos="-4680"/>
          <w:tab w:val="num" w:pos="1620"/>
          <w:tab w:val="num" w:pos="1728"/>
        </w:tabs>
        <w:ind w:left="1728" w:hanging="468"/>
      </w:pPr>
      <w:r>
        <w:t>Identifying expected import path(s) or source region(s).</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462E" w:rsidRPr="001F467C" w:rsidRDefault="008C462E">
      <w:pPr>
        <w:widowControl w:val="0"/>
        <w:spacing w:line="40" w:lineRule="exact"/>
        <w:rPr>
          <w:rFonts w:ascii="Times New Roman" w:hAnsi="Times New Roman" w:cs="Times New Roman"/>
          <w:sz w:val="24"/>
          <w:szCs w:val="24"/>
        </w:rPr>
      </w:pPr>
    </w:p>
    <w:p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4</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sidR="001D0C8A">
        <w:rPr>
          <w:rFonts w:ascii="Times New Roman" w:hAnsi="Times New Roman" w:cs="Times New Roman"/>
          <w:b/>
          <w:bCs/>
          <w:color w:val="003366"/>
          <w:sz w:val="24"/>
          <w:szCs w:val="24"/>
        </w:rPr>
        <w:t>-1</w:t>
      </w:r>
      <w:r>
        <w:rPr>
          <w:rFonts w:ascii="Times New Roman" w:hAnsi="Times New Roman" w:cs="Times New Roman"/>
          <w:b/>
          <w:bCs/>
          <w:color w:val="003366"/>
          <w:sz w:val="24"/>
          <w:szCs w:val="24"/>
        </w:rPr>
        <w:t xml:space="preserve"> R4</w:t>
      </w:r>
    </w:p>
    <w:p w:rsidR="005E50A4" w:rsidRPr="005E50A4" w:rsidRDefault="005E50A4" w:rsidP="005E50A4">
      <w:pPr>
        <w:rPr>
          <w:rFonts w:ascii="Times New Roman" w:hAnsi="Times New Roman" w:cs="Times New Roman"/>
          <w:color w:val="365F91"/>
          <w:sz w:val="24"/>
          <w:szCs w:val="24"/>
        </w:rPr>
      </w:pPr>
    </w:p>
    <w:p w:rsidR="00D30B65" w:rsidRPr="005E50A4" w:rsidRDefault="00D30B65" w:rsidP="00D30B65">
      <w:pPr>
        <w:ind w:left="840" w:hanging="48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796AE9">
        <w:rPr>
          <w:rFonts w:ascii="Times New Roman" w:hAnsi="Times New Roman" w:cs="Times New Roman"/>
          <w:color w:val="365F91"/>
          <w:sz w:val="24"/>
          <w:szCs w:val="24"/>
        </w:rPr>
        <w:t xml:space="preserve">Verify </w:t>
      </w:r>
      <w:r w:rsidR="005907BB">
        <w:rPr>
          <w:rFonts w:ascii="Times New Roman" w:hAnsi="Times New Roman" w:cs="Times New Roman"/>
          <w:color w:val="365F91"/>
          <w:sz w:val="24"/>
          <w:szCs w:val="24"/>
        </w:rPr>
        <w:t>the</w:t>
      </w:r>
      <w:r w:rsidRPr="001C0409">
        <w:rPr>
          <w:rFonts w:ascii="Times New Roman" w:hAnsi="Times New Roman" w:cs="Times New Roman"/>
          <w:color w:val="365F91"/>
          <w:sz w:val="24"/>
          <w:szCs w:val="24"/>
        </w:rPr>
        <w:t xml:space="preserve"> </w:t>
      </w:r>
      <w:r w:rsidRPr="00D30B65">
        <w:rPr>
          <w:rFonts w:ascii="Times New Roman" w:hAnsi="Times New Roman" w:cs="Times New Roman"/>
          <w:color w:val="365F91"/>
          <w:sz w:val="24"/>
          <w:szCs w:val="24"/>
        </w:rPr>
        <w:t>RP</w:t>
      </w:r>
      <w:r w:rsidRPr="001C0409">
        <w:rPr>
          <w:rFonts w:ascii="Times New Roman" w:hAnsi="Times New Roman" w:cs="Times New Roman"/>
          <w:color w:val="365F91"/>
          <w:sz w:val="24"/>
          <w:szCs w:val="24"/>
        </w:rPr>
        <w:t xml:space="preserve"> determining the need for Transmission capacity to be set aside as CBM for imports into a BA Area determine</w:t>
      </w:r>
      <w:r w:rsidR="00796AE9">
        <w:rPr>
          <w:rFonts w:ascii="Times New Roman" w:hAnsi="Times New Roman" w:cs="Times New Roman"/>
          <w:color w:val="365F91"/>
          <w:sz w:val="24"/>
          <w:szCs w:val="24"/>
        </w:rPr>
        <w:t>d</w:t>
      </w:r>
      <w:r w:rsidRPr="001C0409">
        <w:rPr>
          <w:rFonts w:ascii="Times New Roman" w:hAnsi="Times New Roman" w:cs="Times New Roman"/>
          <w:color w:val="365F91"/>
          <w:sz w:val="24"/>
          <w:szCs w:val="24"/>
        </w:rPr>
        <w:t xml:space="preserve"> that need by: </w:t>
      </w:r>
    </w:p>
    <w:p w:rsidR="00D30B65" w:rsidRPr="005E50A4" w:rsidRDefault="00D30B65" w:rsidP="00D30B65">
      <w:pPr>
        <w:ind w:left="360"/>
        <w:rPr>
          <w:rFonts w:ascii="Times New Roman" w:hAnsi="Times New Roman" w:cs="Times New Roman"/>
          <w:color w:val="365F91"/>
          <w:sz w:val="24"/>
          <w:szCs w:val="24"/>
        </w:rPr>
      </w:pPr>
    </w:p>
    <w:p w:rsidR="00D30B65" w:rsidRDefault="00D30B65" w:rsidP="00D30B65">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Pr="009067D0">
        <w:rPr>
          <w:rFonts w:ascii="Times New Roman" w:hAnsi="Times New Roman" w:cs="Times New Roman"/>
          <w:color w:val="365F91"/>
          <w:sz w:val="24"/>
          <w:szCs w:val="24"/>
        </w:rPr>
        <w:t>Us</w:t>
      </w:r>
      <w:r w:rsidR="005907BB">
        <w:rPr>
          <w:rFonts w:ascii="Times New Roman" w:hAnsi="Times New Roman" w:cs="Times New Roman"/>
          <w:color w:val="365F91"/>
          <w:sz w:val="24"/>
          <w:szCs w:val="24"/>
        </w:rPr>
        <w:t>ing</w:t>
      </w:r>
      <w:r w:rsidRPr="009067D0">
        <w:rPr>
          <w:rFonts w:ascii="Times New Roman" w:hAnsi="Times New Roman" w:cs="Times New Roman"/>
          <w:color w:val="365F91"/>
          <w:sz w:val="24"/>
          <w:szCs w:val="24"/>
        </w:rPr>
        <w:t xml:space="preserve"> one or more of the following to determine the GCIR:</w:t>
      </w:r>
    </w:p>
    <w:p w:rsidR="00D30B65" w:rsidRDefault="00D30B65" w:rsidP="00D30B65">
      <w:pPr>
        <w:ind w:left="1920"/>
        <w:rPr>
          <w:rFonts w:ascii="Times New Roman" w:hAnsi="Times New Roman" w:cs="Times New Roman"/>
          <w:color w:val="365F91"/>
          <w:sz w:val="24"/>
          <w:szCs w:val="24"/>
        </w:rPr>
      </w:pPr>
      <w:r w:rsidRPr="009067D0">
        <w:rPr>
          <w:rFonts w:ascii="Times New Roman" w:hAnsi="Times New Roman" w:cs="Times New Roman"/>
          <w:bCs/>
          <w:color w:val="365F91"/>
          <w:sz w:val="24"/>
          <w:szCs w:val="24"/>
        </w:rPr>
        <w:t>___</w:t>
      </w:r>
      <w:r w:rsidRPr="009067D0">
        <w:rPr>
          <w:rFonts w:ascii="Times New Roman" w:hAnsi="Times New Roman" w:cs="Times New Roman"/>
          <w:color w:val="365F91"/>
          <w:sz w:val="24"/>
          <w:szCs w:val="24"/>
        </w:rPr>
        <w:t>Loss of Load Expectation (LOLE) studies</w:t>
      </w:r>
    </w:p>
    <w:p w:rsidR="005907BB" w:rsidRPr="009067D0" w:rsidRDefault="005907BB" w:rsidP="00D30B65">
      <w:pPr>
        <w:ind w:left="1920"/>
        <w:rPr>
          <w:rFonts w:ascii="Times New Roman" w:hAnsi="Times New Roman" w:cs="Times New Roman"/>
          <w:color w:val="365F91"/>
          <w:sz w:val="24"/>
          <w:szCs w:val="24"/>
        </w:rPr>
      </w:pPr>
    </w:p>
    <w:p w:rsidR="00D30B65" w:rsidRDefault="00D30B65" w:rsidP="00D30B65">
      <w:pPr>
        <w:ind w:left="1920"/>
        <w:rPr>
          <w:rFonts w:ascii="Times New Roman" w:hAnsi="Times New Roman" w:cs="Times New Roman"/>
          <w:color w:val="365F91"/>
          <w:sz w:val="24"/>
          <w:szCs w:val="24"/>
        </w:rPr>
      </w:pPr>
      <w:r w:rsidRPr="009067D0">
        <w:rPr>
          <w:rFonts w:ascii="Times New Roman" w:hAnsi="Times New Roman" w:cs="Times New Roman"/>
          <w:bCs/>
          <w:color w:val="365F91"/>
          <w:sz w:val="24"/>
          <w:szCs w:val="24"/>
        </w:rPr>
        <w:t>___</w:t>
      </w:r>
      <w:r w:rsidRPr="009067D0">
        <w:rPr>
          <w:rFonts w:ascii="Times New Roman" w:hAnsi="Times New Roman" w:cs="Times New Roman"/>
          <w:color w:val="365F91"/>
          <w:sz w:val="24"/>
          <w:szCs w:val="24"/>
        </w:rPr>
        <w:t>Loss of Load Probability (LOLP) studies</w:t>
      </w:r>
    </w:p>
    <w:p w:rsidR="005907BB" w:rsidRPr="009067D0" w:rsidRDefault="005907BB" w:rsidP="00D30B65">
      <w:pPr>
        <w:ind w:left="1920"/>
        <w:rPr>
          <w:rFonts w:ascii="Times New Roman" w:hAnsi="Times New Roman" w:cs="Times New Roman"/>
          <w:color w:val="365F91"/>
          <w:sz w:val="24"/>
          <w:szCs w:val="24"/>
        </w:rPr>
      </w:pPr>
    </w:p>
    <w:p w:rsidR="00D30B65" w:rsidRDefault="00D30B65" w:rsidP="00D30B65">
      <w:pPr>
        <w:ind w:left="1920"/>
        <w:rPr>
          <w:rFonts w:ascii="Times New Roman" w:hAnsi="Times New Roman" w:cs="Times New Roman"/>
          <w:color w:val="365F91"/>
          <w:sz w:val="24"/>
          <w:szCs w:val="24"/>
        </w:rPr>
      </w:pPr>
      <w:r w:rsidRPr="009067D0">
        <w:rPr>
          <w:rFonts w:ascii="Times New Roman" w:hAnsi="Times New Roman" w:cs="Times New Roman"/>
          <w:bCs/>
          <w:color w:val="365F91"/>
          <w:sz w:val="24"/>
          <w:szCs w:val="24"/>
        </w:rPr>
        <w:t>___</w:t>
      </w:r>
      <w:r w:rsidRPr="009067D0">
        <w:rPr>
          <w:rFonts w:ascii="Times New Roman" w:hAnsi="Times New Roman" w:cs="Times New Roman"/>
          <w:color w:val="365F91"/>
          <w:sz w:val="24"/>
          <w:szCs w:val="24"/>
        </w:rPr>
        <w:t xml:space="preserve">Deterministic risk-analysis studies </w:t>
      </w:r>
    </w:p>
    <w:p w:rsidR="005907BB" w:rsidRPr="009067D0" w:rsidRDefault="005907BB" w:rsidP="00D30B65">
      <w:pPr>
        <w:ind w:left="1920"/>
        <w:rPr>
          <w:color w:val="365F91"/>
        </w:rPr>
      </w:pPr>
    </w:p>
    <w:p w:rsidR="00D30B65" w:rsidRDefault="00D30B65" w:rsidP="00D30B65">
      <w:pPr>
        <w:ind w:left="2280" w:hanging="360"/>
        <w:rPr>
          <w:rFonts w:ascii="Times New Roman" w:hAnsi="Times New Roman" w:cs="Times New Roman"/>
          <w:bCs/>
          <w:color w:val="365F91"/>
          <w:sz w:val="24"/>
          <w:szCs w:val="24"/>
        </w:rPr>
      </w:pPr>
      <w:r w:rsidRPr="009067D0">
        <w:rPr>
          <w:rFonts w:ascii="Times New Roman" w:hAnsi="Times New Roman" w:cs="Times New Roman"/>
          <w:bCs/>
          <w:color w:val="365F91"/>
          <w:sz w:val="24"/>
          <w:szCs w:val="24"/>
        </w:rPr>
        <w:t>___Reserve margin or resource adequacy requirements established by other entities, such as municipalities, state commissions, regional transmission organizations, independent system operators, RRO, or regional entities</w:t>
      </w:r>
    </w:p>
    <w:p w:rsidR="00D30B65" w:rsidRPr="009067D0" w:rsidRDefault="00D30B65" w:rsidP="00D30B65">
      <w:pPr>
        <w:ind w:left="1920" w:hanging="360"/>
        <w:rPr>
          <w:rFonts w:ascii="Times New Roman" w:hAnsi="Times New Roman" w:cs="Times New Roman"/>
          <w:bCs/>
          <w:color w:val="365F91"/>
          <w:sz w:val="24"/>
          <w:szCs w:val="24"/>
        </w:rPr>
      </w:pPr>
    </w:p>
    <w:p w:rsidR="00D30B65" w:rsidRPr="003A16EC" w:rsidRDefault="00D30B65" w:rsidP="00D30B65">
      <w:pPr>
        <w:ind w:left="1368" w:hanging="288"/>
        <w:rPr>
          <w:rFonts w:ascii="Times New Roman" w:hAnsi="Times New Roman" w:cs="Times New Roman"/>
          <w:bCs/>
          <w:color w:val="365F91"/>
          <w:sz w:val="24"/>
          <w:szCs w:val="24"/>
        </w:rPr>
      </w:pPr>
      <w:r w:rsidRPr="003A16EC">
        <w:rPr>
          <w:rFonts w:ascii="Times New Roman" w:hAnsi="Times New Roman" w:cs="Times New Roman"/>
          <w:bCs/>
          <w:color w:val="365F91"/>
          <w:sz w:val="24"/>
          <w:szCs w:val="24"/>
        </w:rPr>
        <w:t>___Identifying expected import path(s) or source region(s).</w:t>
      </w:r>
    </w:p>
    <w:p w:rsidR="005E50A4" w:rsidRPr="005E50A4" w:rsidRDefault="005E50A4" w:rsidP="005E50A4">
      <w:pPr>
        <w:widowControl w:val="0"/>
        <w:tabs>
          <w:tab w:val="left" w:pos="60"/>
        </w:tabs>
        <w:spacing w:line="294" w:lineRule="exact"/>
        <w:rPr>
          <w:rFonts w:ascii="Times New Roman" w:hAnsi="Times New Roman" w:cs="Times New Roman"/>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5E50A4" w:rsidRPr="001F467C" w:rsidTr="00B060A0">
        <w:tc>
          <w:tcPr>
            <w:tcW w:w="78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5E50A4" w:rsidRPr="001F467C" w:rsidTr="00B060A0">
        <w:tc>
          <w:tcPr>
            <w:tcW w:w="78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5E50A4" w:rsidRDefault="005E50A4" w:rsidP="005E50A4">
      <w:pPr>
        <w:widowControl w:val="0"/>
        <w:tabs>
          <w:tab w:val="left" w:pos="60"/>
        </w:tabs>
        <w:spacing w:line="200" w:lineRule="exact"/>
        <w:rPr>
          <w:rFonts w:ascii="Times New Roman" w:hAnsi="Times New Roman" w:cs="Times New Roman"/>
          <w:b/>
          <w:sz w:val="24"/>
          <w:szCs w:val="24"/>
        </w:rPr>
      </w:pPr>
    </w:p>
    <w:p w:rsidR="005E50A4" w:rsidRDefault="005E50A4" w:rsidP="005E50A4">
      <w:pPr>
        <w:widowControl w:val="0"/>
        <w:tabs>
          <w:tab w:val="left" w:pos="60"/>
        </w:tabs>
        <w:spacing w:line="200" w:lineRule="exact"/>
        <w:rPr>
          <w:rFonts w:ascii="Times New Roman" w:hAnsi="Times New Roman" w:cs="Times New Roman"/>
          <w:sz w:val="24"/>
          <w:szCs w:val="24"/>
        </w:rPr>
      </w:pPr>
      <w:bookmarkStart w:id="3" w:name="FERC"/>
      <w:bookmarkEnd w:id="3"/>
      <w:r w:rsidRPr="001F467C">
        <w:rPr>
          <w:rFonts w:ascii="Times New Roman" w:hAnsi="Times New Roman" w:cs="Times New Roman"/>
          <w:sz w:val="24"/>
          <w:szCs w:val="24"/>
        </w:rPr>
        <w:t xml:space="preserve"> </w:t>
      </w:r>
    </w:p>
    <w:p w:rsidR="008C3D4D" w:rsidRDefault="008C3D4D" w:rsidP="005E50A4">
      <w:pPr>
        <w:widowControl w:val="0"/>
        <w:tabs>
          <w:tab w:val="left" w:pos="60"/>
        </w:tabs>
        <w:spacing w:line="200" w:lineRule="exact"/>
        <w:rPr>
          <w:rFonts w:ascii="Times New Roman" w:hAnsi="Times New Roman" w:cs="Times New Roman"/>
          <w:sz w:val="24"/>
          <w:szCs w:val="24"/>
        </w:rPr>
      </w:pPr>
    </w:p>
    <w:p w:rsidR="00491C0E" w:rsidRDefault="00491C0E" w:rsidP="00491C0E">
      <w:pPr>
        <w:pStyle w:val="Requirement"/>
        <w:tabs>
          <w:tab w:val="clear" w:pos="934"/>
          <w:tab w:val="num" w:pos="900"/>
          <w:tab w:val="num" w:pos="936"/>
          <w:tab w:val="left" w:pos="2592"/>
        </w:tabs>
        <w:ind w:left="900" w:hanging="540"/>
      </w:pPr>
      <w:r>
        <w:t xml:space="preserve">At least every 13 months, the Transmission Service Provider </w:t>
      </w:r>
      <w:r w:rsidRPr="00AC585A">
        <w:t>that maintain</w:t>
      </w:r>
      <w:r>
        <w:t>s</w:t>
      </w:r>
      <w:r w:rsidRPr="00AC585A">
        <w:t xml:space="preserve"> CBM</w:t>
      </w:r>
      <w:r>
        <w:t xml:space="preserve"> shall establish a CBM value for each ATC Path or Flowgate to be used for ATC or Available Flowgate Capability (AFC) calculations during the 13 full calendar months (months 2-14) following the current month (the month in which the Transmission Service Provider is establishing the CBM values).  This value shall:  [</w:t>
      </w:r>
      <w:r w:rsidRPr="00016955">
        <w:rPr>
          <w:i/>
        </w:rPr>
        <w:t>Violation Risk Factor</w:t>
      </w:r>
      <w:r>
        <w:rPr>
          <w:i/>
        </w:rPr>
        <w:t>: Lower</w:t>
      </w:r>
      <w:r>
        <w:t>] [</w:t>
      </w:r>
      <w:r w:rsidRPr="00016955">
        <w:rPr>
          <w:i/>
        </w:rPr>
        <w:t>Time Horizon</w:t>
      </w:r>
      <w:r>
        <w:rPr>
          <w:i/>
        </w:rPr>
        <w:t>:</w:t>
      </w:r>
      <w:r w:rsidRPr="00016955">
        <w:rPr>
          <w:i/>
        </w:rPr>
        <w:t xml:space="preserve"> Operations Planning</w:t>
      </w:r>
      <w:r>
        <w:t>]</w:t>
      </w:r>
    </w:p>
    <w:p w:rsidR="00491C0E" w:rsidRPr="00202FCA" w:rsidRDefault="00491C0E" w:rsidP="00491C0E">
      <w:pPr>
        <w:pStyle w:val="Requirement"/>
        <w:numPr>
          <w:ilvl w:val="1"/>
          <w:numId w:val="5"/>
        </w:numPr>
        <w:tabs>
          <w:tab w:val="clear" w:pos="3240"/>
          <w:tab w:val="left" w:pos="-1980"/>
          <w:tab w:val="left" w:pos="1620"/>
          <w:tab w:val="num" w:pos="1728"/>
        </w:tabs>
        <w:ind w:left="1728" w:hanging="468"/>
      </w:pPr>
      <w:r>
        <w:t xml:space="preserve">Reflect consideration of </w:t>
      </w:r>
      <w:r w:rsidRPr="00202FCA">
        <w:t>each of the following if available:</w:t>
      </w:r>
    </w:p>
    <w:p w:rsidR="00491C0E" w:rsidRDefault="00491C0E" w:rsidP="00F20FE8">
      <w:pPr>
        <w:pStyle w:val="Requirement"/>
        <w:numPr>
          <w:ilvl w:val="2"/>
          <w:numId w:val="19"/>
        </w:numPr>
        <w:tabs>
          <w:tab w:val="clear" w:pos="1728"/>
          <w:tab w:val="clear" w:pos="3240"/>
          <w:tab w:val="left" w:pos="1980"/>
        </w:tabs>
        <w:ind w:left="1980"/>
      </w:pPr>
      <w:r w:rsidRPr="00202FCA">
        <w:t xml:space="preserve">Any studies </w:t>
      </w:r>
      <w:bookmarkStart w:id="4" w:name="OLE_LINK5"/>
      <w:bookmarkStart w:id="5" w:name="OLE_LINK6"/>
      <w:r w:rsidRPr="00202FCA">
        <w:t>(as described in R3.1)</w:t>
      </w:r>
      <w:r>
        <w:t xml:space="preserve"> </w:t>
      </w:r>
      <w:bookmarkEnd w:id="4"/>
      <w:bookmarkEnd w:id="5"/>
      <w:r>
        <w:t xml:space="preserve">performed by Load-Serving Entities for loads within the Transmission Service Provider’s area </w:t>
      </w:r>
    </w:p>
    <w:p w:rsidR="00491C0E" w:rsidRDefault="00491C0E" w:rsidP="00491C0E">
      <w:pPr>
        <w:pStyle w:val="Requirement"/>
        <w:numPr>
          <w:ilvl w:val="2"/>
          <w:numId w:val="19"/>
        </w:numPr>
        <w:tabs>
          <w:tab w:val="clear" w:pos="1728"/>
          <w:tab w:val="left" w:pos="2592"/>
        </w:tabs>
        <w:ind w:left="1980"/>
      </w:pPr>
      <w:r>
        <w:t xml:space="preserve">Any </w:t>
      </w:r>
      <w:r w:rsidRPr="00202FCA">
        <w:t>studies (as described in R4.1)</w:t>
      </w:r>
      <w:r>
        <w:t xml:space="preserve"> performed by Resource Planners for loads within the Transmission Service Provider’s area</w:t>
      </w:r>
    </w:p>
    <w:p w:rsidR="00491C0E" w:rsidRDefault="00491C0E" w:rsidP="00491C0E">
      <w:pPr>
        <w:pStyle w:val="Requirement"/>
        <w:numPr>
          <w:ilvl w:val="2"/>
          <w:numId w:val="19"/>
        </w:numPr>
        <w:tabs>
          <w:tab w:val="clear" w:pos="1728"/>
          <w:tab w:val="left" w:pos="2592"/>
        </w:tabs>
        <w:ind w:left="1980"/>
      </w:pPr>
      <w:r>
        <w:t>Any reserve margin or</w:t>
      </w:r>
      <w:r w:rsidRPr="00D553C3">
        <w:t xml:space="preserve"> </w:t>
      </w:r>
      <w:r>
        <w:t xml:space="preserve">resource adequacy requirements for loads within the Transmission Service Provider’s area established by other entities, such as </w:t>
      </w:r>
      <w:r w:rsidRPr="00D553C3">
        <w:t>municipalities, state commissions, regional transmission organizations, independent system operators, Regional Reliability Organizations, or regional entities</w:t>
      </w:r>
    </w:p>
    <w:p w:rsidR="00491C0E" w:rsidRDefault="00491C0E" w:rsidP="00491C0E">
      <w:pPr>
        <w:pStyle w:val="Requirement"/>
        <w:numPr>
          <w:ilvl w:val="1"/>
          <w:numId w:val="5"/>
        </w:numPr>
        <w:tabs>
          <w:tab w:val="clear" w:pos="3240"/>
          <w:tab w:val="num" w:pos="-1800"/>
          <w:tab w:val="left" w:pos="1620"/>
          <w:tab w:val="num" w:pos="1728"/>
        </w:tabs>
        <w:ind w:left="1620" w:hanging="720"/>
      </w:pPr>
      <w:r>
        <w:t>Be allocated as follows:</w:t>
      </w:r>
    </w:p>
    <w:p w:rsidR="00491C0E" w:rsidRDefault="00491C0E" w:rsidP="00491C0E">
      <w:pPr>
        <w:pStyle w:val="Requirement"/>
        <w:numPr>
          <w:ilvl w:val="2"/>
          <w:numId w:val="20"/>
        </w:numPr>
        <w:tabs>
          <w:tab w:val="clear" w:pos="1728"/>
          <w:tab w:val="clear" w:pos="3240"/>
          <w:tab w:val="left" w:pos="1620"/>
          <w:tab w:val="num" w:pos="2160"/>
        </w:tabs>
        <w:ind w:left="2160" w:hanging="540"/>
      </w:pPr>
      <w:r>
        <w:t>For ATC Paths, based on the expected import paths or source regions provided by Load-Serving Entities or Resource Planners</w:t>
      </w:r>
    </w:p>
    <w:p w:rsidR="00491C0E" w:rsidRDefault="00491C0E" w:rsidP="00491C0E">
      <w:pPr>
        <w:pStyle w:val="Requirement"/>
        <w:numPr>
          <w:ilvl w:val="2"/>
          <w:numId w:val="20"/>
        </w:numPr>
        <w:tabs>
          <w:tab w:val="clear" w:pos="1728"/>
          <w:tab w:val="clear" w:pos="3240"/>
          <w:tab w:val="left" w:pos="1620"/>
          <w:tab w:val="num" w:pos="2160"/>
        </w:tabs>
        <w:ind w:left="2160" w:hanging="540"/>
      </w:pPr>
      <w:r w:rsidRPr="00EC5A68">
        <w:t xml:space="preserve">For Flowgates, based on the expected import paths or source regions provided by </w:t>
      </w:r>
      <w:r>
        <w:t>Load-Serving</w:t>
      </w:r>
      <w:r w:rsidRPr="00EC5A68">
        <w:t xml:space="preserve"> Entities or Resource Planners and the distribution factors associated with those paths or regions, as determined by the Transmission Service Provider</w:t>
      </w:r>
    </w:p>
    <w:p w:rsidR="00491C0E" w:rsidRDefault="00491C0E" w:rsidP="005E50A4">
      <w:pPr>
        <w:widowControl w:val="0"/>
        <w:tabs>
          <w:tab w:val="left" w:pos="60"/>
        </w:tabs>
        <w:spacing w:line="200" w:lineRule="exact"/>
        <w:rPr>
          <w:rFonts w:ascii="Times New Roman" w:hAnsi="Times New Roman" w:cs="Times New Roman"/>
          <w:sz w:val="24"/>
          <w:szCs w:val="24"/>
        </w:rPr>
      </w:pPr>
    </w:p>
    <w:p w:rsidR="00BC4B46" w:rsidRDefault="00BC4B46" w:rsidP="00BC4B46">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BC4B46" w:rsidRPr="009C039C" w:rsidRDefault="00BC4B46" w:rsidP="00BC4B46">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BC4B46" w:rsidRPr="001F467C" w:rsidRDefault="00BC4B46" w:rsidP="00BC4B46">
      <w:pPr>
        <w:widowControl w:val="0"/>
        <w:tabs>
          <w:tab w:val="left" w:pos="720"/>
        </w:tabs>
        <w:spacing w:line="186" w:lineRule="exact"/>
        <w:ind w:left="720"/>
        <w:rPr>
          <w:rFonts w:ascii="Times New Roman" w:hAnsi="Times New Roman" w:cs="Times New Roman"/>
          <w:sz w:val="24"/>
          <w:szCs w:val="24"/>
        </w:rPr>
      </w:pPr>
    </w:p>
    <w:p w:rsidR="00BC4B46" w:rsidRPr="001F467C" w:rsidRDefault="00BC4B46" w:rsidP="00BC4B4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BC4B46" w:rsidRPr="001F467C" w:rsidRDefault="00BC4B46" w:rsidP="00BC4B4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C4B46" w:rsidRDefault="00BC4B46" w:rsidP="00BC4B46">
      <w:pPr>
        <w:pStyle w:val="Requirement"/>
        <w:numPr>
          <w:ilvl w:val="0"/>
          <w:numId w:val="0"/>
        </w:numPr>
        <w:tabs>
          <w:tab w:val="left" w:pos="2592"/>
        </w:tabs>
        <w:ind w:left="720" w:hanging="720"/>
      </w:pPr>
    </w:p>
    <w:p w:rsidR="008C3D4D" w:rsidRPr="008B3775" w:rsidRDefault="008C3D4D" w:rsidP="008C3D4D">
      <w:pPr>
        <w:pStyle w:val="Heading1"/>
        <w:rPr>
          <w:sz w:val="32"/>
          <w:szCs w:val="32"/>
        </w:rPr>
      </w:pPr>
      <w:r w:rsidRPr="008B3775">
        <w:rPr>
          <w:sz w:val="32"/>
          <w:szCs w:val="32"/>
        </w:rPr>
        <w:t>R</w:t>
      </w:r>
      <w:r>
        <w:rPr>
          <w:sz w:val="32"/>
          <w:szCs w:val="32"/>
        </w:rPr>
        <w:t>5</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BC4B46">
      <w:pPr>
        <w:pStyle w:val="Requirement"/>
        <w:numPr>
          <w:ilvl w:val="0"/>
          <w:numId w:val="0"/>
        </w:numPr>
        <w:tabs>
          <w:tab w:val="left" w:pos="2592"/>
        </w:tabs>
        <w:ind w:left="720" w:hanging="720"/>
      </w:pPr>
    </w:p>
    <w:p w:rsidR="00BC4B46" w:rsidRPr="001F467C" w:rsidRDefault="00BC4B46" w:rsidP="00BC4B46">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BC4B46" w:rsidRDefault="00BC4B46" w:rsidP="00BC4B46">
      <w:pPr>
        <w:pStyle w:val="Requirement"/>
        <w:numPr>
          <w:ilvl w:val="0"/>
          <w:numId w:val="0"/>
        </w:numPr>
        <w:tabs>
          <w:tab w:val="left" w:pos="2592"/>
        </w:tabs>
        <w:ind w:left="720" w:hanging="720"/>
      </w:pPr>
    </w:p>
    <w:p w:rsidR="00BC4B46" w:rsidRPr="001F467C" w:rsidRDefault="00BC4B46" w:rsidP="00BC4B46">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264D74"/>
          <w:sz w:val="24"/>
          <w:szCs w:val="24"/>
        </w:rPr>
        <w:t>-1 R</w:t>
      </w:r>
      <w:r w:rsidR="008E7CBF">
        <w:rPr>
          <w:rFonts w:ascii="Times New Roman" w:hAnsi="Times New Roman" w:cs="Times New Roman"/>
          <w:b/>
          <w:bCs/>
          <w:color w:val="264D74"/>
          <w:sz w:val="24"/>
          <w:szCs w:val="24"/>
        </w:rPr>
        <w:t>5</w:t>
      </w:r>
    </w:p>
    <w:p w:rsidR="00BC4B46" w:rsidRPr="001F467C" w:rsidRDefault="00BC4B46" w:rsidP="00BC4B46">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BC4B46" w:rsidRDefault="00BC4B46" w:rsidP="00995548">
      <w:pPr>
        <w:ind w:left="1080" w:hanging="120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00976815" w:rsidRPr="00976815">
        <w:rPr>
          <w:rFonts w:ascii="Calibri" w:eastAsia="Calibri" w:hAnsi="Calibri" w:cs="Times New Roman"/>
          <w:b/>
          <w:sz w:val="22"/>
          <w:szCs w:val="22"/>
        </w:rPr>
        <w:t xml:space="preserve"> </w:t>
      </w:r>
      <w:r w:rsidR="004C5FA0" w:rsidRPr="004C5FA0">
        <w:rPr>
          <w:rFonts w:ascii="Times New Roman" w:hAnsi="Times New Roman" w:cs="Times New Roman"/>
          <w:color w:val="365F91"/>
          <w:sz w:val="24"/>
          <w:szCs w:val="24"/>
        </w:rPr>
        <w:t>Verify</w:t>
      </w:r>
      <w:r w:rsidR="00976815" w:rsidRPr="004C5FA0">
        <w:rPr>
          <w:rFonts w:ascii="Times New Roman" w:hAnsi="Times New Roman" w:cs="Times New Roman"/>
          <w:color w:val="365F91"/>
          <w:sz w:val="24"/>
          <w:szCs w:val="24"/>
        </w:rPr>
        <w:t xml:space="preserve"> </w:t>
      </w:r>
      <w:r w:rsidR="004C5FA0">
        <w:rPr>
          <w:rFonts w:ascii="Times New Roman" w:hAnsi="Times New Roman" w:cs="Times New Roman"/>
          <w:color w:val="365F91"/>
          <w:sz w:val="24"/>
          <w:szCs w:val="24"/>
        </w:rPr>
        <w:t xml:space="preserve">at </w:t>
      </w:r>
      <w:r w:rsidR="00976815" w:rsidRPr="00976815">
        <w:rPr>
          <w:rFonts w:ascii="Times New Roman" w:hAnsi="Times New Roman" w:cs="Times New Roman"/>
          <w:color w:val="365F91"/>
          <w:sz w:val="24"/>
          <w:szCs w:val="24"/>
        </w:rPr>
        <w:t>least every 13 months, the T</w:t>
      </w:r>
      <w:r w:rsidR="00F216D6">
        <w:rPr>
          <w:rFonts w:ascii="Times New Roman" w:hAnsi="Times New Roman" w:cs="Times New Roman"/>
          <w:color w:val="365F91"/>
          <w:sz w:val="24"/>
          <w:szCs w:val="24"/>
        </w:rPr>
        <w:t>SP</w:t>
      </w:r>
      <w:r w:rsidR="005907BB">
        <w:rPr>
          <w:rFonts w:ascii="Times New Roman" w:hAnsi="Times New Roman" w:cs="Times New Roman"/>
          <w:color w:val="365F91"/>
          <w:sz w:val="24"/>
          <w:szCs w:val="24"/>
        </w:rPr>
        <w:t xml:space="preserve"> that maintained</w:t>
      </w:r>
      <w:r w:rsidR="004C5FA0">
        <w:rPr>
          <w:rFonts w:ascii="Times New Roman" w:hAnsi="Times New Roman" w:cs="Times New Roman"/>
          <w:color w:val="365F91"/>
          <w:sz w:val="24"/>
          <w:szCs w:val="24"/>
        </w:rPr>
        <w:t xml:space="preserve"> CBM, </w:t>
      </w:r>
      <w:r w:rsidR="00976815" w:rsidRPr="00976815">
        <w:rPr>
          <w:rFonts w:ascii="Times New Roman" w:hAnsi="Times New Roman" w:cs="Times New Roman"/>
          <w:color w:val="365F91"/>
          <w:sz w:val="24"/>
          <w:szCs w:val="24"/>
        </w:rPr>
        <w:t>establish</w:t>
      </w:r>
      <w:r w:rsidR="004C5FA0">
        <w:rPr>
          <w:rFonts w:ascii="Times New Roman" w:hAnsi="Times New Roman" w:cs="Times New Roman"/>
          <w:color w:val="365F91"/>
          <w:sz w:val="24"/>
          <w:szCs w:val="24"/>
        </w:rPr>
        <w:t>ed</w:t>
      </w:r>
      <w:r w:rsidR="00976815" w:rsidRPr="00976815">
        <w:rPr>
          <w:rFonts w:ascii="Times New Roman" w:hAnsi="Times New Roman" w:cs="Times New Roman"/>
          <w:color w:val="365F91"/>
          <w:sz w:val="24"/>
          <w:szCs w:val="24"/>
        </w:rPr>
        <w:t xml:space="preserve"> a CBM value for each ATC Path or Flowgate to be used for ATC or AFC calculations during the 13 full calendar months (months 2-14) following the current month (the month in which t</w:t>
      </w:r>
      <w:r w:rsidR="00F216D6">
        <w:rPr>
          <w:rFonts w:ascii="Times New Roman" w:hAnsi="Times New Roman" w:cs="Times New Roman"/>
          <w:color w:val="365F91"/>
          <w:sz w:val="24"/>
          <w:szCs w:val="24"/>
        </w:rPr>
        <w:t>he TSP</w:t>
      </w:r>
      <w:r w:rsidR="00976815" w:rsidRPr="00976815">
        <w:rPr>
          <w:rFonts w:ascii="Times New Roman" w:hAnsi="Times New Roman" w:cs="Times New Roman"/>
          <w:color w:val="365F91"/>
          <w:sz w:val="24"/>
          <w:szCs w:val="24"/>
        </w:rPr>
        <w:t xml:space="preserve"> establish</w:t>
      </w:r>
      <w:r w:rsidR="005907BB">
        <w:rPr>
          <w:rFonts w:ascii="Times New Roman" w:hAnsi="Times New Roman" w:cs="Times New Roman"/>
          <w:color w:val="365F91"/>
          <w:sz w:val="24"/>
          <w:szCs w:val="24"/>
        </w:rPr>
        <w:t>ed</w:t>
      </w:r>
      <w:r w:rsidR="00976815" w:rsidRPr="00976815">
        <w:rPr>
          <w:rFonts w:ascii="Times New Roman" w:hAnsi="Times New Roman" w:cs="Times New Roman"/>
          <w:color w:val="365F91"/>
          <w:sz w:val="24"/>
          <w:szCs w:val="24"/>
        </w:rPr>
        <w:t xml:space="preserve"> th</w:t>
      </w:r>
      <w:r w:rsidR="004C5FA0">
        <w:rPr>
          <w:rFonts w:ascii="Times New Roman" w:hAnsi="Times New Roman" w:cs="Times New Roman"/>
          <w:color w:val="365F91"/>
          <w:sz w:val="24"/>
          <w:szCs w:val="24"/>
        </w:rPr>
        <w:t xml:space="preserve">e CBM values).  </w:t>
      </w:r>
    </w:p>
    <w:p w:rsidR="00BC4B46" w:rsidRPr="005E50A4" w:rsidRDefault="00BC4B46" w:rsidP="008903BD">
      <w:pPr>
        <w:ind w:left="360" w:right="240"/>
        <w:rPr>
          <w:rFonts w:ascii="Times New Roman" w:hAnsi="Times New Roman" w:cs="Times New Roman"/>
          <w:color w:val="365F91"/>
          <w:sz w:val="24"/>
          <w:szCs w:val="24"/>
        </w:rPr>
      </w:pPr>
    </w:p>
    <w:p w:rsidR="00995548" w:rsidRDefault="00BC4B46" w:rsidP="00995548">
      <w:pPr>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___</w:t>
      </w:r>
      <w:r w:rsidRPr="00995548">
        <w:rPr>
          <w:rFonts w:ascii="Times New Roman" w:hAnsi="Times New Roman" w:cs="Times New Roman"/>
          <w:color w:val="365F91"/>
          <w:sz w:val="24"/>
          <w:szCs w:val="24"/>
        </w:rPr>
        <w:t xml:space="preserve"> </w:t>
      </w:r>
      <w:r w:rsidR="005907BB">
        <w:rPr>
          <w:rFonts w:ascii="Times New Roman" w:hAnsi="Times New Roman" w:cs="Times New Roman"/>
          <w:color w:val="365F91"/>
          <w:sz w:val="24"/>
          <w:szCs w:val="24"/>
        </w:rPr>
        <w:t>Did this value r</w:t>
      </w:r>
      <w:r w:rsidR="00995548" w:rsidRPr="00995548">
        <w:rPr>
          <w:rFonts w:ascii="Times New Roman" w:hAnsi="Times New Roman" w:cs="Times New Roman"/>
          <w:color w:val="365F91"/>
          <w:sz w:val="24"/>
          <w:szCs w:val="24"/>
        </w:rPr>
        <w:t>eflect consideration of each of the following</w:t>
      </w:r>
      <w:r w:rsidR="005907BB">
        <w:rPr>
          <w:rFonts w:ascii="Times New Roman" w:hAnsi="Times New Roman" w:cs="Times New Roman"/>
          <w:color w:val="365F91"/>
          <w:sz w:val="24"/>
          <w:szCs w:val="24"/>
        </w:rPr>
        <w:t>,</w:t>
      </w:r>
      <w:r w:rsidR="00995548" w:rsidRPr="00995548">
        <w:rPr>
          <w:rFonts w:ascii="Times New Roman" w:hAnsi="Times New Roman" w:cs="Times New Roman"/>
          <w:color w:val="365F91"/>
          <w:sz w:val="24"/>
          <w:szCs w:val="24"/>
        </w:rPr>
        <w:t xml:space="preserve"> if available:</w:t>
      </w:r>
    </w:p>
    <w:p w:rsidR="008903BD" w:rsidRPr="00995548" w:rsidRDefault="008903BD" w:rsidP="00995548">
      <w:pPr>
        <w:ind w:left="360"/>
        <w:rPr>
          <w:rFonts w:ascii="Times New Roman" w:hAnsi="Times New Roman" w:cs="Times New Roman"/>
          <w:color w:val="365F91"/>
          <w:sz w:val="24"/>
          <w:szCs w:val="24"/>
        </w:rPr>
      </w:pPr>
    </w:p>
    <w:p w:rsidR="00995548" w:rsidRDefault="008903BD" w:rsidP="008903BD">
      <w:pPr>
        <w:ind w:left="2160" w:right="360" w:hanging="1800"/>
        <w:rPr>
          <w:rFonts w:ascii="Times New Roman" w:hAnsi="Times New Roman" w:cs="Times New Roman"/>
          <w:color w:val="365F91"/>
          <w:sz w:val="24"/>
          <w:szCs w:val="24"/>
        </w:rPr>
      </w:pPr>
      <w:r w:rsidRPr="008903BD">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 xml:space="preserve">             </w:t>
      </w:r>
      <w:r w:rsidRPr="008903BD">
        <w:rPr>
          <w:rFonts w:ascii="Times New Roman" w:hAnsi="Times New Roman" w:cs="Times New Roman"/>
          <w:bCs/>
          <w:color w:val="365F91"/>
          <w:sz w:val="24"/>
          <w:szCs w:val="24"/>
        </w:rPr>
        <w:t>___</w:t>
      </w:r>
      <w:r w:rsidRPr="008903BD">
        <w:rPr>
          <w:rFonts w:ascii="Times New Roman" w:hAnsi="Times New Roman" w:cs="Times New Roman"/>
          <w:color w:val="365F91"/>
          <w:sz w:val="24"/>
          <w:szCs w:val="24"/>
        </w:rPr>
        <w:t xml:space="preserve"> </w:t>
      </w:r>
      <w:r w:rsidR="00995548" w:rsidRPr="00995548">
        <w:rPr>
          <w:rFonts w:ascii="Times New Roman" w:hAnsi="Times New Roman" w:cs="Times New Roman"/>
          <w:color w:val="365F91"/>
          <w:sz w:val="24"/>
          <w:szCs w:val="24"/>
        </w:rPr>
        <w:t>Any studies (as described in R3.1) performed by L</w:t>
      </w:r>
      <w:r w:rsidR="00F216D6">
        <w:rPr>
          <w:rFonts w:ascii="Times New Roman" w:hAnsi="Times New Roman" w:cs="Times New Roman"/>
          <w:color w:val="365F91"/>
          <w:sz w:val="24"/>
          <w:szCs w:val="24"/>
        </w:rPr>
        <w:t>SEs</w:t>
      </w:r>
      <w:r w:rsidR="00995548" w:rsidRPr="00995548">
        <w:rPr>
          <w:rFonts w:ascii="Times New Roman" w:hAnsi="Times New Roman" w:cs="Times New Roman"/>
          <w:color w:val="365F91"/>
          <w:sz w:val="24"/>
          <w:szCs w:val="24"/>
        </w:rPr>
        <w:t xml:space="preserve"> for loads within the T</w:t>
      </w:r>
      <w:r w:rsidR="00F216D6">
        <w:rPr>
          <w:rFonts w:ascii="Times New Roman" w:hAnsi="Times New Roman" w:cs="Times New Roman"/>
          <w:color w:val="365F91"/>
          <w:sz w:val="24"/>
          <w:szCs w:val="24"/>
        </w:rPr>
        <w:t>SP</w:t>
      </w:r>
      <w:r w:rsidR="00995548" w:rsidRPr="00995548">
        <w:rPr>
          <w:rFonts w:ascii="Times New Roman" w:hAnsi="Times New Roman" w:cs="Times New Roman"/>
          <w:color w:val="365F91"/>
          <w:sz w:val="24"/>
          <w:szCs w:val="24"/>
        </w:rPr>
        <w:t xml:space="preserve">’s area </w:t>
      </w:r>
    </w:p>
    <w:p w:rsidR="008903BD" w:rsidRPr="00995548" w:rsidRDefault="008903BD" w:rsidP="008903BD">
      <w:pPr>
        <w:ind w:left="2160" w:right="360" w:hanging="1800"/>
        <w:rPr>
          <w:rFonts w:ascii="Times New Roman" w:hAnsi="Times New Roman" w:cs="Times New Roman"/>
          <w:color w:val="365F91"/>
          <w:sz w:val="24"/>
          <w:szCs w:val="24"/>
        </w:rPr>
      </w:pPr>
    </w:p>
    <w:p w:rsidR="00995548" w:rsidRDefault="008903BD" w:rsidP="008903BD">
      <w:pPr>
        <w:ind w:left="2160" w:right="360" w:hanging="1800"/>
        <w:rPr>
          <w:rFonts w:ascii="Times New Roman" w:hAnsi="Times New Roman" w:cs="Times New Roman"/>
          <w:color w:val="365F91"/>
          <w:sz w:val="24"/>
          <w:szCs w:val="24"/>
        </w:rPr>
      </w:pPr>
      <w:r w:rsidRPr="008903BD">
        <w:rPr>
          <w:rFonts w:ascii="Times New Roman" w:hAnsi="Times New Roman" w:cs="Times New Roman"/>
          <w:bCs/>
          <w:color w:val="365F91"/>
          <w:sz w:val="24"/>
          <w:szCs w:val="24"/>
        </w:rPr>
        <w:t xml:space="preserve">                        ___</w:t>
      </w:r>
      <w:r w:rsidRPr="008903BD">
        <w:rPr>
          <w:rFonts w:ascii="Times New Roman" w:hAnsi="Times New Roman" w:cs="Times New Roman"/>
          <w:color w:val="365F91"/>
          <w:sz w:val="24"/>
          <w:szCs w:val="24"/>
        </w:rPr>
        <w:t xml:space="preserve"> </w:t>
      </w:r>
      <w:r w:rsidR="00995548" w:rsidRPr="00995548">
        <w:rPr>
          <w:rFonts w:ascii="Times New Roman" w:hAnsi="Times New Roman" w:cs="Times New Roman"/>
          <w:color w:val="365F91"/>
          <w:sz w:val="24"/>
          <w:szCs w:val="24"/>
        </w:rPr>
        <w:t>Any studies (as described in R4.1) performed by RP for loads within the T</w:t>
      </w:r>
      <w:r w:rsidR="00F216D6">
        <w:rPr>
          <w:rFonts w:ascii="Times New Roman" w:hAnsi="Times New Roman" w:cs="Times New Roman"/>
          <w:color w:val="365F91"/>
          <w:sz w:val="24"/>
          <w:szCs w:val="24"/>
        </w:rPr>
        <w:t>SP</w:t>
      </w:r>
      <w:r w:rsidR="00995548" w:rsidRPr="00995548">
        <w:rPr>
          <w:rFonts w:ascii="Times New Roman" w:hAnsi="Times New Roman" w:cs="Times New Roman"/>
          <w:color w:val="365F91"/>
          <w:sz w:val="24"/>
          <w:szCs w:val="24"/>
        </w:rPr>
        <w:t>’s area</w:t>
      </w:r>
    </w:p>
    <w:p w:rsidR="008903BD" w:rsidRPr="00995548" w:rsidRDefault="008903BD" w:rsidP="008903BD">
      <w:pPr>
        <w:ind w:left="2160" w:right="360" w:hanging="1800"/>
        <w:rPr>
          <w:rFonts w:ascii="Times New Roman" w:hAnsi="Times New Roman" w:cs="Times New Roman"/>
          <w:color w:val="365F91"/>
          <w:sz w:val="24"/>
          <w:szCs w:val="24"/>
        </w:rPr>
      </w:pPr>
    </w:p>
    <w:p w:rsidR="00995548" w:rsidRDefault="008903BD" w:rsidP="008903BD">
      <w:pPr>
        <w:ind w:left="2160" w:right="360" w:hanging="1800"/>
        <w:rPr>
          <w:rFonts w:ascii="Times New Roman" w:hAnsi="Times New Roman" w:cs="Times New Roman"/>
          <w:color w:val="365F91"/>
          <w:sz w:val="24"/>
          <w:szCs w:val="24"/>
        </w:rPr>
      </w:pPr>
      <w:r w:rsidRPr="008903BD">
        <w:rPr>
          <w:rFonts w:ascii="Times New Roman" w:hAnsi="Times New Roman" w:cs="Times New Roman"/>
          <w:bCs/>
          <w:color w:val="365F91"/>
          <w:sz w:val="24"/>
          <w:szCs w:val="24"/>
        </w:rPr>
        <w:t xml:space="preserve">                        ___</w:t>
      </w:r>
      <w:r w:rsidR="00995548" w:rsidRPr="00995548">
        <w:rPr>
          <w:rFonts w:ascii="Times New Roman" w:hAnsi="Times New Roman" w:cs="Times New Roman"/>
          <w:color w:val="365F91"/>
          <w:sz w:val="24"/>
          <w:szCs w:val="24"/>
        </w:rPr>
        <w:t>Any reserve margin or resource adequacy requirements for loads within the T</w:t>
      </w:r>
      <w:r w:rsidR="00F216D6">
        <w:rPr>
          <w:rFonts w:ascii="Times New Roman" w:hAnsi="Times New Roman" w:cs="Times New Roman"/>
          <w:color w:val="365F91"/>
          <w:sz w:val="24"/>
          <w:szCs w:val="24"/>
        </w:rPr>
        <w:t>SP</w:t>
      </w:r>
      <w:r w:rsidR="00995548" w:rsidRPr="00995548">
        <w:rPr>
          <w:rFonts w:ascii="Times New Roman" w:hAnsi="Times New Roman" w:cs="Times New Roman"/>
          <w:color w:val="365F91"/>
          <w:sz w:val="24"/>
          <w:szCs w:val="24"/>
        </w:rPr>
        <w:t>’s area established by other entities, such as municipalities, state commissions, regional transmission organizations, independent system operators, R</w:t>
      </w:r>
      <w:r w:rsidR="00F216D6">
        <w:rPr>
          <w:rFonts w:ascii="Times New Roman" w:hAnsi="Times New Roman" w:cs="Times New Roman"/>
          <w:color w:val="365F91"/>
          <w:sz w:val="24"/>
          <w:szCs w:val="24"/>
        </w:rPr>
        <w:t>R</w:t>
      </w:r>
      <w:r w:rsidR="00995548" w:rsidRPr="00995548">
        <w:rPr>
          <w:rFonts w:ascii="Times New Roman" w:hAnsi="Times New Roman" w:cs="Times New Roman"/>
          <w:color w:val="365F91"/>
          <w:sz w:val="24"/>
          <w:szCs w:val="24"/>
        </w:rPr>
        <w:t>O, or regional entities</w:t>
      </w:r>
    </w:p>
    <w:p w:rsidR="00D84B46" w:rsidRPr="00995548" w:rsidRDefault="00D84B46" w:rsidP="008903BD">
      <w:pPr>
        <w:ind w:left="2160" w:right="360" w:hanging="1800"/>
        <w:rPr>
          <w:rFonts w:ascii="Times New Roman" w:hAnsi="Times New Roman" w:cs="Times New Roman"/>
          <w:color w:val="365F91"/>
          <w:sz w:val="24"/>
          <w:szCs w:val="24"/>
        </w:rPr>
      </w:pPr>
    </w:p>
    <w:p w:rsidR="008903BD" w:rsidRDefault="001D5BBD" w:rsidP="008903BD">
      <w:pPr>
        <w:ind w:left="360"/>
        <w:rPr>
          <w:rFonts w:ascii="Times New Roman" w:hAnsi="Times New Roman" w:cs="Times New Roman"/>
          <w:color w:val="365F91"/>
          <w:sz w:val="24"/>
          <w:szCs w:val="24"/>
        </w:rPr>
      </w:pPr>
      <w:r w:rsidRPr="001D5BBD">
        <w:rPr>
          <w:rFonts w:ascii="Times New Roman" w:hAnsi="Times New Roman" w:cs="Times New Roman"/>
          <w:bCs/>
          <w:sz w:val="24"/>
          <w:szCs w:val="24"/>
        </w:rPr>
        <w:t xml:space="preserve">         </w:t>
      </w:r>
      <w:r w:rsidRPr="00D84B46">
        <w:rPr>
          <w:rFonts w:ascii="Times New Roman" w:hAnsi="Times New Roman" w:cs="Times New Roman"/>
          <w:color w:val="365F91"/>
          <w:sz w:val="24"/>
          <w:szCs w:val="24"/>
        </w:rPr>
        <w:t xml:space="preserve">    ___</w:t>
      </w:r>
      <w:r w:rsidR="008903BD" w:rsidRPr="001D5BBD">
        <w:rPr>
          <w:rFonts w:ascii="Times New Roman" w:hAnsi="Times New Roman" w:cs="Times New Roman"/>
          <w:color w:val="365F91"/>
          <w:sz w:val="24"/>
          <w:szCs w:val="24"/>
        </w:rPr>
        <w:t>Be allocated as follows</w:t>
      </w:r>
      <w:r w:rsidR="008903BD" w:rsidRPr="00D84B46">
        <w:rPr>
          <w:rFonts w:ascii="Times New Roman" w:hAnsi="Times New Roman" w:cs="Times New Roman"/>
          <w:color w:val="365F91"/>
          <w:sz w:val="24"/>
          <w:szCs w:val="24"/>
        </w:rPr>
        <w:t>:</w:t>
      </w:r>
    </w:p>
    <w:p w:rsidR="005907BB" w:rsidRPr="00D84B46" w:rsidRDefault="005907BB" w:rsidP="008903BD">
      <w:pPr>
        <w:ind w:left="360"/>
        <w:rPr>
          <w:rFonts w:ascii="Times New Roman" w:hAnsi="Times New Roman" w:cs="Times New Roman"/>
          <w:color w:val="365F91"/>
          <w:sz w:val="24"/>
          <w:szCs w:val="24"/>
        </w:rPr>
      </w:pPr>
    </w:p>
    <w:p w:rsidR="00D84B46" w:rsidRDefault="00D84B46" w:rsidP="00D84B46">
      <w:pPr>
        <w:ind w:left="2280" w:hanging="1920"/>
        <w:rPr>
          <w:rFonts w:ascii="Times New Roman" w:hAnsi="Times New Roman" w:cs="Times New Roman"/>
          <w:color w:val="365F91"/>
          <w:sz w:val="24"/>
          <w:szCs w:val="24"/>
        </w:rPr>
      </w:pPr>
      <w:r w:rsidRPr="00D84B46">
        <w:rPr>
          <w:rFonts w:ascii="Times New Roman" w:hAnsi="Times New Roman" w:cs="Times New Roman"/>
          <w:color w:val="365F91"/>
          <w:sz w:val="24"/>
          <w:szCs w:val="24"/>
        </w:rPr>
        <w:t xml:space="preserve">                         ___For ATC Paths, based on the expected import paths or source regions provided by L</w:t>
      </w:r>
      <w:r w:rsidR="00B36DEF">
        <w:rPr>
          <w:rFonts w:ascii="Times New Roman" w:hAnsi="Times New Roman" w:cs="Times New Roman"/>
          <w:color w:val="365F91"/>
          <w:sz w:val="24"/>
          <w:szCs w:val="24"/>
        </w:rPr>
        <w:t>SEs or RP</w:t>
      </w:r>
      <w:r w:rsidRPr="00D84B46">
        <w:rPr>
          <w:rFonts w:ascii="Times New Roman" w:hAnsi="Times New Roman" w:cs="Times New Roman"/>
          <w:color w:val="365F91"/>
          <w:sz w:val="24"/>
          <w:szCs w:val="24"/>
        </w:rPr>
        <w:t>s</w:t>
      </w:r>
    </w:p>
    <w:p w:rsidR="00D84B46" w:rsidRPr="00D84B46" w:rsidRDefault="00D84B46" w:rsidP="00D84B46">
      <w:pPr>
        <w:ind w:left="2280" w:hanging="1920"/>
        <w:rPr>
          <w:rFonts w:ascii="Times New Roman" w:hAnsi="Times New Roman" w:cs="Times New Roman"/>
          <w:color w:val="365F91"/>
          <w:sz w:val="24"/>
          <w:szCs w:val="24"/>
        </w:rPr>
      </w:pPr>
    </w:p>
    <w:p w:rsidR="00D84B46" w:rsidRPr="00D84B46" w:rsidRDefault="00D84B46" w:rsidP="00D84B46">
      <w:pPr>
        <w:ind w:left="2280" w:hanging="1920"/>
        <w:rPr>
          <w:rFonts w:ascii="Times New Roman" w:hAnsi="Times New Roman" w:cs="Times New Roman"/>
          <w:color w:val="365F91"/>
          <w:sz w:val="24"/>
          <w:szCs w:val="24"/>
        </w:rPr>
      </w:pPr>
      <w:r w:rsidRPr="00D84B46">
        <w:rPr>
          <w:rFonts w:ascii="Times New Roman" w:hAnsi="Times New Roman" w:cs="Times New Roman"/>
          <w:color w:val="365F91"/>
          <w:sz w:val="24"/>
          <w:szCs w:val="24"/>
        </w:rPr>
        <w:t xml:space="preserve">                         ___For Flowgates, based on the expected import paths or source regions provided by Load-Serving Entities or Resource Planners and the distribution factors associated with those paths or regions, as determined by the Transmission Service Provider</w:t>
      </w:r>
    </w:p>
    <w:p w:rsidR="005E50A4" w:rsidRDefault="005E50A4" w:rsidP="00995548">
      <w:pPr>
        <w:ind w:left="360"/>
        <w:rPr>
          <w:rFonts w:ascii="Times New Roman" w:hAnsi="Times New Roman" w:cs="Times New Roman"/>
          <w:sz w:val="24"/>
          <w:szCs w:val="24"/>
        </w:rPr>
      </w:pPr>
    </w:p>
    <w:p w:rsidR="008C3D4D" w:rsidRPr="00995548" w:rsidRDefault="008C3D4D" w:rsidP="00995548">
      <w:pPr>
        <w:ind w:left="360"/>
        <w:rPr>
          <w:rFonts w:ascii="Times New Roman" w:hAnsi="Times New Roman" w:cs="Times New Roman"/>
          <w:sz w:val="24"/>
          <w:szCs w:val="24"/>
        </w:rPr>
      </w:pPr>
    </w:p>
    <w:p w:rsidR="00491C0E" w:rsidRDefault="00491C0E" w:rsidP="00491C0E">
      <w:pPr>
        <w:pStyle w:val="Requirement"/>
        <w:tabs>
          <w:tab w:val="clear" w:pos="934"/>
          <w:tab w:val="num" w:pos="900"/>
          <w:tab w:val="num" w:pos="936"/>
          <w:tab w:val="left" w:pos="2592"/>
        </w:tabs>
        <w:ind w:left="900" w:hanging="540"/>
      </w:pPr>
      <w:r>
        <w:t xml:space="preserve">At least every 13 months, the Transmission Planner shall establish a CBM value for each ATC Path or Flowgate to be used in planning during each of the full calendar years two through ten following the current year (the year in which the Transmission Planner is establishing the CBM values). </w:t>
      </w:r>
      <w:r w:rsidRPr="00643927">
        <w:t xml:space="preserve"> </w:t>
      </w:r>
      <w:r>
        <w:t>This value shall:  [</w:t>
      </w:r>
      <w:r w:rsidRPr="00016955">
        <w:rPr>
          <w:i/>
        </w:rPr>
        <w:t>Violation Risk Factor</w:t>
      </w:r>
      <w:r>
        <w:rPr>
          <w:i/>
        </w:rPr>
        <w:t>: Lower</w:t>
      </w:r>
      <w:r>
        <w:t>] [</w:t>
      </w:r>
      <w:r w:rsidRPr="00016955">
        <w:rPr>
          <w:i/>
        </w:rPr>
        <w:t>Time Horizon</w:t>
      </w:r>
      <w:r>
        <w:rPr>
          <w:i/>
        </w:rPr>
        <w:t>:</w:t>
      </w:r>
      <w:r w:rsidRPr="00016955">
        <w:rPr>
          <w:i/>
        </w:rPr>
        <w:t xml:space="preserve"> </w:t>
      </w:r>
      <w:r>
        <w:rPr>
          <w:i/>
        </w:rPr>
        <w:t>Long-term</w:t>
      </w:r>
      <w:r w:rsidRPr="00016955">
        <w:rPr>
          <w:i/>
        </w:rPr>
        <w:t xml:space="preserve"> Planning</w:t>
      </w:r>
      <w:r>
        <w:t>]</w:t>
      </w:r>
    </w:p>
    <w:p w:rsidR="00491C0E" w:rsidRDefault="00491C0E" w:rsidP="00491C0E">
      <w:pPr>
        <w:pStyle w:val="Requirement"/>
        <w:numPr>
          <w:ilvl w:val="1"/>
          <w:numId w:val="5"/>
        </w:numPr>
        <w:tabs>
          <w:tab w:val="clear" w:pos="3240"/>
          <w:tab w:val="left" w:pos="-1980"/>
          <w:tab w:val="left" w:pos="1620"/>
          <w:tab w:val="num" w:pos="1728"/>
        </w:tabs>
        <w:ind w:left="1728" w:hanging="468"/>
      </w:pPr>
      <w:r>
        <w:t>Reflect consideration of each of the following if available:</w:t>
      </w:r>
    </w:p>
    <w:p w:rsidR="00491C0E" w:rsidRDefault="00491C0E" w:rsidP="00491C0E">
      <w:pPr>
        <w:pStyle w:val="Requirement"/>
        <w:numPr>
          <w:ilvl w:val="2"/>
          <w:numId w:val="19"/>
        </w:numPr>
        <w:tabs>
          <w:tab w:val="clear" w:pos="1728"/>
          <w:tab w:val="left" w:pos="2592"/>
        </w:tabs>
        <w:ind w:left="1980"/>
      </w:pPr>
      <w:r>
        <w:t xml:space="preserve">Any </w:t>
      </w:r>
      <w:r w:rsidRPr="00202FCA">
        <w:t>studies (as described in R3.1) performed</w:t>
      </w:r>
      <w:r>
        <w:t xml:space="preserve"> by Load-Serving Entities for loads within the Transmission Planner’s area </w:t>
      </w:r>
    </w:p>
    <w:p w:rsidR="00491C0E" w:rsidRDefault="00491C0E" w:rsidP="00491C0E">
      <w:pPr>
        <w:pStyle w:val="Requirement"/>
        <w:numPr>
          <w:ilvl w:val="2"/>
          <w:numId w:val="19"/>
        </w:numPr>
        <w:tabs>
          <w:tab w:val="clear" w:pos="1728"/>
          <w:tab w:val="left" w:pos="2592"/>
        </w:tabs>
        <w:ind w:left="1980"/>
      </w:pPr>
      <w:r>
        <w:t xml:space="preserve">Any </w:t>
      </w:r>
      <w:r w:rsidRPr="00202FCA">
        <w:t>studies (as described in R4.1)</w:t>
      </w:r>
      <w:r>
        <w:t xml:space="preserve"> performed by Resource Planners for loads within the Transmission Planner’s area</w:t>
      </w:r>
    </w:p>
    <w:p w:rsidR="00491C0E" w:rsidRDefault="00491C0E" w:rsidP="00491C0E">
      <w:pPr>
        <w:pStyle w:val="Requirement"/>
        <w:numPr>
          <w:ilvl w:val="2"/>
          <w:numId w:val="19"/>
        </w:numPr>
        <w:tabs>
          <w:tab w:val="clear" w:pos="1728"/>
          <w:tab w:val="left" w:pos="2592"/>
        </w:tabs>
        <w:ind w:left="1980"/>
      </w:pPr>
      <w:r>
        <w:t>Any reserve margin or</w:t>
      </w:r>
      <w:r w:rsidRPr="00D553C3">
        <w:t xml:space="preserve"> </w:t>
      </w:r>
      <w:r>
        <w:t xml:space="preserve">resource adequacy requirements for loads within the Transmission Planner’s area established by other entities, such as </w:t>
      </w:r>
      <w:r w:rsidRPr="00D553C3">
        <w:t>municipalities, state commissions, regional transmission organizations, independent system operators, Regional Reliability Organizations, or regional entities</w:t>
      </w:r>
    </w:p>
    <w:p w:rsidR="00491C0E" w:rsidRDefault="00491C0E" w:rsidP="00491C0E">
      <w:pPr>
        <w:pStyle w:val="Requirement"/>
        <w:numPr>
          <w:ilvl w:val="1"/>
          <w:numId w:val="5"/>
        </w:numPr>
        <w:tabs>
          <w:tab w:val="clear" w:pos="3240"/>
          <w:tab w:val="num" w:pos="-1800"/>
          <w:tab w:val="left" w:pos="1620"/>
          <w:tab w:val="num" w:pos="1728"/>
        </w:tabs>
        <w:ind w:left="1620" w:hanging="720"/>
      </w:pPr>
      <w:r>
        <w:t>Be allocated as follows:</w:t>
      </w:r>
    </w:p>
    <w:p w:rsidR="00491C0E" w:rsidRDefault="00491C0E" w:rsidP="00491C0E">
      <w:pPr>
        <w:pStyle w:val="Requirement"/>
        <w:numPr>
          <w:ilvl w:val="2"/>
          <w:numId w:val="20"/>
        </w:numPr>
        <w:tabs>
          <w:tab w:val="clear" w:pos="1728"/>
          <w:tab w:val="clear" w:pos="3240"/>
          <w:tab w:val="left" w:pos="1620"/>
          <w:tab w:val="num" w:pos="1980"/>
        </w:tabs>
        <w:ind w:left="1980"/>
      </w:pPr>
      <w:r>
        <w:t>For ATC Paths, based on the expected import paths or source regions provided by Load-Serving Entities or Resource Planners</w:t>
      </w:r>
    </w:p>
    <w:p w:rsidR="00491C0E" w:rsidRDefault="00491C0E" w:rsidP="00491C0E">
      <w:pPr>
        <w:pStyle w:val="Requirement"/>
        <w:numPr>
          <w:ilvl w:val="2"/>
          <w:numId w:val="20"/>
        </w:numPr>
        <w:tabs>
          <w:tab w:val="clear" w:pos="1728"/>
          <w:tab w:val="clear" w:pos="3240"/>
          <w:tab w:val="left" w:pos="1620"/>
          <w:tab w:val="num" w:pos="1980"/>
        </w:tabs>
        <w:ind w:left="1980"/>
      </w:pPr>
      <w:r w:rsidRPr="00EC5A68">
        <w:t xml:space="preserve">For Flowgates, based on the expected import paths or source regions provided by </w:t>
      </w:r>
      <w:r>
        <w:t>Load-Serving</w:t>
      </w:r>
      <w:r w:rsidRPr="00EC5A68">
        <w:t xml:space="preserve"> Entities or Resource Planners and the distribution factors associated with those paths or regions, as determined by the Transmission </w:t>
      </w:r>
      <w:r>
        <w:t>Planner.</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6</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6</w:t>
      </w:r>
    </w:p>
    <w:p w:rsidR="00A52681" w:rsidRPr="005E50A4" w:rsidRDefault="00A52681" w:rsidP="00A52681">
      <w:pPr>
        <w:rPr>
          <w:rFonts w:ascii="Times New Roman" w:hAnsi="Times New Roman" w:cs="Times New Roman"/>
          <w:color w:val="365F91"/>
          <w:sz w:val="24"/>
          <w:szCs w:val="24"/>
        </w:rPr>
      </w:pPr>
    </w:p>
    <w:p w:rsidR="004C5FA0" w:rsidRDefault="00723B52" w:rsidP="00723B52">
      <w:pPr>
        <w:ind w:left="1080" w:hanging="120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976815">
        <w:rPr>
          <w:rFonts w:ascii="Calibri" w:eastAsia="Calibri" w:hAnsi="Calibri" w:cs="Times New Roman"/>
          <w:b/>
          <w:sz w:val="22"/>
          <w:szCs w:val="22"/>
        </w:rPr>
        <w:t xml:space="preserve"> </w:t>
      </w:r>
      <w:r w:rsidR="004C5FA0">
        <w:rPr>
          <w:rFonts w:ascii="Times New Roman" w:hAnsi="Times New Roman" w:cs="Times New Roman"/>
          <w:color w:val="365F91"/>
          <w:sz w:val="24"/>
          <w:szCs w:val="24"/>
        </w:rPr>
        <w:t xml:space="preserve">Verify at </w:t>
      </w:r>
      <w:r w:rsidRPr="00723B52">
        <w:rPr>
          <w:rFonts w:ascii="Times New Roman" w:hAnsi="Times New Roman" w:cs="Times New Roman"/>
          <w:color w:val="365F91"/>
          <w:sz w:val="24"/>
          <w:szCs w:val="24"/>
        </w:rPr>
        <w:t xml:space="preserve">least every 13 months, </w:t>
      </w:r>
      <w:r w:rsidR="004C5FA0">
        <w:rPr>
          <w:rFonts w:ascii="Times New Roman" w:hAnsi="Times New Roman" w:cs="Times New Roman"/>
          <w:color w:val="365F91"/>
          <w:sz w:val="24"/>
          <w:szCs w:val="24"/>
        </w:rPr>
        <w:t xml:space="preserve">that </w:t>
      </w:r>
      <w:r w:rsidRPr="00723B52">
        <w:rPr>
          <w:rFonts w:ascii="Times New Roman" w:hAnsi="Times New Roman" w:cs="Times New Roman"/>
          <w:color w:val="365F91"/>
          <w:sz w:val="24"/>
          <w:szCs w:val="24"/>
        </w:rPr>
        <w:t>the TP establish</w:t>
      </w:r>
      <w:r w:rsidR="004C5FA0">
        <w:rPr>
          <w:rFonts w:ascii="Times New Roman" w:hAnsi="Times New Roman" w:cs="Times New Roman"/>
          <w:color w:val="365F91"/>
          <w:sz w:val="24"/>
          <w:szCs w:val="24"/>
        </w:rPr>
        <w:t>ed</w:t>
      </w:r>
      <w:r w:rsidRPr="00723B52">
        <w:rPr>
          <w:rFonts w:ascii="Times New Roman" w:hAnsi="Times New Roman" w:cs="Times New Roman"/>
          <w:color w:val="365F91"/>
          <w:sz w:val="24"/>
          <w:szCs w:val="24"/>
        </w:rPr>
        <w:t xml:space="preserve"> a CBM value for each ATC Path or Flowgate to be used in planning during each of the full calendar years two through ten following the current year (the year in which the TP is establishing the CBM values).  </w:t>
      </w:r>
    </w:p>
    <w:p w:rsidR="005178DD" w:rsidRPr="00723B52" w:rsidRDefault="005178DD" w:rsidP="00723B52">
      <w:pPr>
        <w:ind w:left="1080" w:hanging="1200"/>
        <w:rPr>
          <w:rFonts w:ascii="Times New Roman" w:hAnsi="Times New Roman" w:cs="Times New Roman"/>
          <w:color w:val="365F91"/>
          <w:sz w:val="24"/>
          <w:szCs w:val="24"/>
        </w:rPr>
      </w:pPr>
    </w:p>
    <w:p w:rsidR="00723B52" w:rsidRDefault="00723B52" w:rsidP="00723B52">
      <w:pPr>
        <w:ind w:left="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             ___</w:t>
      </w:r>
      <w:r w:rsidRPr="00995548">
        <w:rPr>
          <w:rFonts w:ascii="Times New Roman" w:hAnsi="Times New Roman" w:cs="Times New Roman"/>
          <w:color w:val="365F91"/>
          <w:sz w:val="24"/>
          <w:szCs w:val="24"/>
        </w:rPr>
        <w:t xml:space="preserve"> </w:t>
      </w:r>
      <w:r w:rsidR="005178DD">
        <w:rPr>
          <w:rFonts w:ascii="Times New Roman" w:hAnsi="Times New Roman" w:cs="Times New Roman"/>
          <w:color w:val="365F91"/>
          <w:sz w:val="24"/>
          <w:szCs w:val="24"/>
        </w:rPr>
        <w:t>Did this value r</w:t>
      </w:r>
      <w:r w:rsidRPr="00995548">
        <w:rPr>
          <w:rFonts w:ascii="Times New Roman" w:hAnsi="Times New Roman" w:cs="Times New Roman"/>
          <w:color w:val="365F91"/>
          <w:sz w:val="24"/>
          <w:szCs w:val="24"/>
        </w:rPr>
        <w:t>eflect consideration of each of the following</w:t>
      </w:r>
      <w:r w:rsidR="005178DD">
        <w:rPr>
          <w:rFonts w:ascii="Times New Roman" w:hAnsi="Times New Roman" w:cs="Times New Roman"/>
          <w:color w:val="365F91"/>
          <w:sz w:val="24"/>
          <w:szCs w:val="24"/>
        </w:rPr>
        <w:t>,</w:t>
      </w:r>
      <w:r w:rsidRPr="00995548">
        <w:rPr>
          <w:rFonts w:ascii="Times New Roman" w:hAnsi="Times New Roman" w:cs="Times New Roman"/>
          <w:color w:val="365F91"/>
          <w:sz w:val="24"/>
          <w:szCs w:val="24"/>
        </w:rPr>
        <w:t xml:space="preserve"> if available:</w:t>
      </w:r>
    </w:p>
    <w:p w:rsidR="00723B52" w:rsidRPr="00995548" w:rsidRDefault="00723B52" w:rsidP="00723B52">
      <w:pPr>
        <w:ind w:left="360"/>
        <w:rPr>
          <w:rFonts w:ascii="Times New Roman" w:hAnsi="Times New Roman" w:cs="Times New Roman"/>
          <w:color w:val="365F91"/>
          <w:sz w:val="24"/>
          <w:szCs w:val="24"/>
        </w:rPr>
      </w:pPr>
    </w:p>
    <w:p w:rsidR="00723B52" w:rsidRDefault="00723B52" w:rsidP="00723B52">
      <w:pPr>
        <w:ind w:left="2160" w:right="360" w:hanging="1800"/>
        <w:rPr>
          <w:rFonts w:ascii="Times New Roman" w:hAnsi="Times New Roman" w:cs="Times New Roman"/>
          <w:color w:val="365F91"/>
          <w:sz w:val="24"/>
          <w:szCs w:val="24"/>
        </w:rPr>
      </w:pPr>
      <w:r w:rsidRPr="008903BD">
        <w:rPr>
          <w:rFonts w:ascii="Times New Roman" w:hAnsi="Times New Roman" w:cs="Times New Roman"/>
          <w:bCs/>
          <w:color w:val="365F91"/>
          <w:sz w:val="24"/>
          <w:szCs w:val="24"/>
        </w:rPr>
        <w:t xml:space="preserve">           </w:t>
      </w:r>
      <w:r>
        <w:rPr>
          <w:rFonts w:ascii="Times New Roman" w:hAnsi="Times New Roman" w:cs="Times New Roman"/>
          <w:bCs/>
          <w:color w:val="365F91"/>
          <w:sz w:val="24"/>
          <w:szCs w:val="24"/>
        </w:rPr>
        <w:t xml:space="preserve">             </w:t>
      </w:r>
      <w:r w:rsidRPr="008903BD">
        <w:rPr>
          <w:rFonts w:ascii="Times New Roman" w:hAnsi="Times New Roman" w:cs="Times New Roman"/>
          <w:bCs/>
          <w:color w:val="365F91"/>
          <w:sz w:val="24"/>
          <w:szCs w:val="24"/>
        </w:rPr>
        <w:t>___</w:t>
      </w:r>
      <w:r w:rsidRPr="008903BD">
        <w:rPr>
          <w:rFonts w:ascii="Times New Roman" w:hAnsi="Times New Roman" w:cs="Times New Roman"/>
          <w:color w:val="365F91"/>
          <w:sz w:val="24"/>
          <w:szCs w:val="24"/>
        </w:rPr>
        <w:t xml:space="preserve"> </w:t>
      </w:r>
      <w:r w:rsidRPr="00995548">
        <w:rPr>
          <w:rFonts w:ascii="Times New Roman" w:hAnsi="Times New Roman" w:cs="Times New Roman"/>
          <w:color w:val="365F91"/>
          <w:sz w:val="24"/>
          <w:szCs w:val="24"/>
        </w:rPr>
        <w:t>Any studies (as described in R3.1) performed by L</w:t>
      </w:r>
      <w:r w:rsidR="00C9548D">
        <w:rPr>
          <w:rFonts w:ascii="Times New Roman" w:hAnsi="Times New Roman" w:cs="Times New Roman"/>
          <w:color w:val="365F91"/>
          <w:sz w:val="24"/>
          <w:szCs w:val="24"/>
        </w:rPr>
        <w:t>SEs</w:t>
      </w:r>
      <w:r w:rsidRPr="00995548">
        <w:rPr>
          <w:rFonts w:ascii="Times New Roman" w:hAnsi="Times New Roman" w:cs="Times New Roman"/>
          <w:color w:val="365F91"/>
          <w:sz w:val="24"/>
          <w:szCs w:val="24"/>
        </w:rPr>
        <w:t xml:space="preserve"> for loads within t</w:t>
      </w:r>
      <w:r w:rsidR="00C9548D">
        <w:rPr>
          <w:rFonts w:ascii="Times New Roman" w:hAnsi="Times New Roman" w:cs="Times New Roman"/>
          <w:color w:val="365F91"/>
          <w:sz w:val="24"/>
          <w:szCs w:val="24"/>
        </w:rPr>
        <w:t>he TSP</w:t>
      </w:r>
      <w:r w:rsidRPr="00995548">
        <w:rPr>
          <w:rFonts w:ascii="Times New Roman" w:hAnsi="Times New Roman" w:cs="Times New Roman"/>
          <w:color w:val="365F91"/>
          <w:sz w:val="24"/>
          <w:szCs w:val="24"/>
        </w:rPr>
        <w:t xml:space="preserve">’s area </w:t>
      </w:r>
    </w:p>
    <w:p w:rsidR="00723B52" w:rsidRPr="00995548" w:rsidRDefault="00723B52" w:rsidP="00723B52">
      <w:pPr>
        <w:ind w:left="2160" w:right="360" w:hanging="1800"/>
        <w:rPr>
          <w:rFonts w:ascii="Times New Roman" w:hAnsi="Times New Roman" w:cs="Times New Roman"/>
          <w:color w:val="365F91"/>
          <w:sz w:val="24"/>
          <w:szCs w:val="24"/>
        </w:rPr>
      </w:pPr>
    </w:p>
    <w:p w:rsidR="00723B52" w:rsidRDefault="00723B52" w:rsidP="00723B52">
      <w:pPr>
        <w:ind w:left="2160" w:right="360" w:hanging="1800"/>
        <w:rPr>
          <w:rFonts w:ascii="Times New Roman" w:hAnsi="Times New Roman" w:cs="Times New Roman"/>
          <w:color w:val="365F91"/>
          <w:sz w:val="24"/>
          <w:szCs w:val="24"/>
        </w:rPr>
      </w:pPr>
      <w:r w:rsidRPr="008903BD">
        <w:rPr>
          <w:rFonts w:ascii="Times New Roman" w:hAnsi="Times New Roman" w:cs="Times New Roman"/>
          <w:bCs/>
          <w:color w:val="365F91"/>
          <w:sz w:val="24"/>
          <w:szCs w:val="24"/>
        </w:rPr>
        <w:t xml:space="preserve">                        ___</w:t>
      </w:r>
      <w:r w:rsidRPr="008903BD">
        <w:rPr>
          <w:rFonts w:ascii="Times New Roman" w:hAnsi="Times New Roman" w:cs="Times New Roman"/>
          <w:color w:val="365F91"/>
          <w:sz w:val="24"/>
          <w:szCs w:val="24"/>
        </w:rPr>
        <w:t xml:space="preserve"> </w:t>
      </w:r>
      <w:r w:rsidRPr="00995548">
        <w:rPr>
          <w:rFonts w:ascii="Times New Roman" w:hAnsi="Times New Roman" w:cs="Times New Roman"/>
          <w:color w:val="365F91"/>
          <w:sz w:val="24"/>
          <w:szCs w:val="24"/>
        </w:rPr>
        <w:t>Any studies (as described</w:t>
      </w:r>
      <w:r w:rsidR="00C9548D">
        <w:rPr>
          <w:rFonts w:ascii="Times New Roman" w:hAnsi="Times New Roman" w:cs="Times New Roman"/>
          <w:color w:val="365F91"/>
          <w:sz w:val="24"/>
          <w:szCs w:val="24"/>
        </w:rPr>
        <w:t xml:space="preserve"> in R4.1) performed by R</w:t>
      </w:r>
      <w:r w:rsidRPr="00995548">
        <w:rPr>
          <w:rFonts w:ascii="Times New Roman" w:hAnsi="Times New Roman" w:cs="Times New Roman"/>
          <w:color w:val="365F91"/>
          <w:sz w:val="24"/>
          <w:szCs w:val="24"/>
        </w:rPr>
        <w:t>P</w:t>
      </w:r>
      <w:r w:rsidR="00C9548D">
        <w:rPr>
          <w:rFonts w:ascii="Times New Roman" w:hAnsi="Times New Roman" w:cs="Times New Roman"/>
          <w:color w:val="365F91"/>
          <w:sz w:val="24"/>
          <w:szCs w:val="24"/>
        </w:rPr>
        <w:t>s for loads within the TSP</w:t>
      </w:r>
      <w:r w:rsidRPr="00995548">
        <w:rPr>
          <w:rFonts w:ascii="Times New Roman" w:hAnsi="Times New Roman" w:cs="Times New Roman"/>
          <w:color w:val="365F91"/>
          <w:sz w:val="24"/>
          <w:szCs w:val="24"/>
        </w:rPr>
        <w:t>’s area</w:t>
      </w:r>
    </w:p>
    <w:p w:rsidR="00723B52" w:rsidRPr="00995548" w:rsidRDefault="00723B52" w:rsidP="00723B52">
      <w:pPr>
        <w:ind w:left="2160" w:right="360" w:hanging="1800"/>
        <w:rPr>
          <w:rFonts w:ascii="Times New Roman" w:hAnsi="Times New Roman" w:cs="Times New Roman"/>
          <w:color w:val="365F91"/>
          <w:sz w:val="24"/>
          <w:szCs w:val="24"/>
        </w:rPr>
      </w:pPr>
    </w:p>
    <w:p w:rsidR="00723B52" w:rsidRDefault="00723B52" w:rsidP="00723B52">
      <w:pPr>
        <w:ind w:left="2160" w:right="360" w:hanging="1800"/>
        <w:rPr>
          <w:rFonts w:ascii="Times New Roman" w:hAnsi="Times New Roman" w:cs="Times New Roman"/>
          <w:color w:val="365F91"/>
          <w:sz w:val="24"/>
          <w:szCs w:val="24"/>
        </w:rPr>
      </w:pPr>
      <w:r w:rsidRPr="008903BD">
        <w:rPr>
          <w:rFonts w:ascii="Times New Roman" w:hAnsi="Times New Roman" w:cs="Times New Roman"/>
          <w:bCs/>
          <w:color w:val="365F91"/>
          <w:sz w:val="24"/>
          <w:szCs w:val="24"/>
        </w:rPr>
        <w:t xml:space="preserve">                        ___</w:t>
      </w:r>
      <w:r w:rsidRPr="00995548">
        <w:rPr>
          <w:rFonts w:ascii="Times New Roman" w:hAnsi="Times New Roman" w:cs="Times New Roman"/>
          <w:color w:val="365F91"/>
          <w:sz w:val="24"/>
          <w:szCs w:val="24"/>
        </w:rPr>
        <w:t>Any reserve margin or resource adequacy requirements for loads within the T</w:t>
      </w:r>
      <w:r w:rsidR="00305781">
        <w:rPr>
          <w:rFonts w:ascii="Times New Roman" w:hAnsi="Times New Roman" w:cs="Times New Roman"/>
          <w:color w:val="365F91"/>
          <w:sz w:val="24"/>
          <w:szCs w:val="24"/>
        </w:rPr>
        <w:t>SP</w:t>
      </w:r>
      <w:r w:rsidRPr="00995548">
        <w:rPr>
          <w:rFonts w:ascii="Times New Roman" w:hAnsi="Times New Roman" w:cs="Times New Roman"/>
          <w:color w:val="365F91"/>
          <w:sz w:val="24"/>
          <w:szCs w:val="24"/>
        </w:rPr>
        <w:t>’s area established by other entities, such as municipalities, state commissions, regional transmission organizations, independent system operators, RRO, or regional entities</w:t>
      </w:r>
    </w:p>
    <w:p w:rsidR="00723B52" w:rsidRPr="00995548" w:rsidRDefault="00723B52" w:rsidP="00723B52">
      <w:pPr>
        <w:ind w:left="2160" w:right="360" w:hanging="1800"/>
        <w:rPr>
          <w:rFonts w:ascii="Times New Roman" w:hAnsi="Times New Roman" w:cs="Times New Roman"/>
          <w:color w:val="365F91"/>
          <w:sz w:val="24"/>
          <w:szCs w:val="24"/>
        </w:rPr>
      </w:pPr>
    </w:p>
    <w:p w:rsidR="00723B52" w:rsidRDefault="00723B52" w:rsidP="00723B52">
      <w:pPr>
        <w:ind w:left="360"/>
        <w:rPr>
          <w:rFonts w:ascii="Times New Roman" w:hAnsi="Times New Roman" w:cs="Times New Roman"/>
          <w:color w:val="365F91"/>
          <w:sz w:val="24"/>
          <w:szCs w:val="24"/>
        </w:rPr>
      </w:pPr>
      <w:r w:rsidRPr="001D5BBD">
        <w:rPr>
          <w:rFonts w:ascii="Times New Roman" w:hAnsi="Times New Roman" w:cs="Times New Roman"/>
          <w:bCs/>
          <w:sz w:val="24"/>
          <w:szCs w:val="24"/>
        </w:rPr>
        <w:t xml:space="preserve">         </w:t>
      </w:r>
      <w:r w:rsidRPr="00D84B46">
        <w:rPr>
          <w:rFonts w:ascii="Times New Roman" w:hAnsi="Times New Roman" w:cs="Times New Roman"/>
          <w:color w:val="365F91"/>
          <w:sz w:val="24"/>
          <w:szCs w:val="24"/>
        </w:rPr>
        <w:t xml:space="preserve">    ___</w:t>
      </w:r>
      <w:r w:rsidRPr="001D5BBD">
        <w:rPr>
          <w:rFonts w:ascii="Times New Roman" w:hAnsi="Times New Roman" w:cs="Times New Roman"/>
          <w:color w:val="365F91"/>
          <w:sz w:val="24"/>
          <w:szCs w:val="24"/>
        </w:rPr>
        <w:t>Be allocated as follows</w:t>
      </w:r>
      <w:r w:rsidRPr="00D84B46">
        <w:rPr>
          <w:rFonts w:ascii="Times New Roman" w:hAnsi="Times New Roman" w:cs="Times New Roman"/>
          <w:color w:val="365F91"/>
          <w:sz w:val="24"/>
          <w:szCs w:val="24"/>
        </w:rPr>
        <w:t>:</w:t>
      </w:r>
    </w:p>
    <w:p w:rsidR="005178DD" w:rsidRPr="00D84B46" w:rsidRDefault="005178DD" w:rsidP="00723B52">
      <w:pPr>
        <w:ind w:left="360"/>
        <w:rPr>
          <w:rFonts w:ascii="Times New Roman" w:hAnsi="Times New Roman" w:cs="Times New Roman"/>
          <w:color w:val="365F91"/>
          <w:sz w:val="24"/>
          <w:szCs w:val="24"/>
        </w:rPr>
      </w:pPr>
    </w:p>
    <w:p w:rsidR="00723B52" w:rsidRDefault="00723B52" w:rsidP="00723B52">
      <w:pPr>
        <w:ind w:left="2280" w:hanging="1920"/>
        <w:rPr>
          <w:rFonts w:ascii="Times New Roman" w:hAnsi="Times New Roman" w:cs="Times New Roman"/>
          <w:color w:val="365F91"/>
          <w:sz w:val="24"/>
          <w:szCs w:val="24"/>
        </w:rPr>
      </w:pPr>
      <w:r w:rsidRPr="00D84B46">
        <w:rPr>
          <w:rFonts w:ascii="Times New Roman" w:hAnsi="Times New Roman" w:cs="Times New Roman"/>
          <w:color w:val="365F91"/>
          <w:sz w:val="24"/>
          <w:szCs w:val="24"/>
        </w:rPr>
        <w:t xml:space="preserve">                         ___For ATC Paths, based on the expected import paths or source regions provided by L</w:t>
      </w:r>
      <w:r w:rsidR="00305781">
        <w:rPr>
          <w:rFonts w:ascii="Times New Roman" w:hAnsi="Times New Roman" w:cs="Times New Roman"/>
          <w:color w:val="365F91"/>
          <w:sz w:val="24"/>
          <w:szCs w:val="24"/>
        </w:rPr>
        <w:t>SEs or RP</w:t>
      </w:r>
      <w:r w:rsidRPr="00D84B46">
        <w:rPr>
          <w:rFonts w:ascii="Times New Roman" w:hAnsi="Times New Roman" w:cs="Times New Roman"/>
          <w:color w:val="365F91"/>
          <w:sz w:val="24"/>
          <w:szCs w:val="24"/>
        </w:rPr>
        <w:t>s</w:t>
      </w:r>
    </w:p>
    <w:p w:rsidR="00723B52" w:rsidRPr="00D84B46" w:rsidRDefault="00723B52" w:rsidP="00723B52">
      <w:pPr>
        <w:ind w:left="2280" w:hanging="1920"/>
        <w:rPr>
          <w:rFonts w:ascii="Times New Roman" w:hAnsi="Times New Roman" w:cs="Times New Roman"/>
          <w:color w:val="365F91"/>
          <w:sz w:val="24"/>
          <w:szCs w:val="24"/>
        </w:rPr>
      </w:pPr>
    </w:p>
    <w:p w:rsidR="00A52681" w:rsidRPr="005E50A4" w:rsidRDefault="00723B52" w:rsidP="005178DD">
      <w:pPr>
        <w:ind w:left="2280" w:hanging="1920"/>
        <w:rPr>
          <w:rFonts w:ascii="Times New Roman" w:hAnsi="Times New Roman" w:cs="Times New Roman"/>
          <w:color w:val="365F91"/>
          <w:sz w:val="24"/>
          <w:szCs w:val="24"/>
        </w:rPr>
      </w:pPr>
      <w:r w:rsidRPr="00D84B46">
        <w:rPr>
          <w:rFonts w:ascii="Times New Roman" w:hAnsi="Times New Roman" w:cs="Times New Roman"/>
          <w:color w:val="365F91"/>
          <w:sz w:val="24"/>
          <w:szCs w:val="24"/>
        </w:rPr>
        <w:t xml:space="preserve">                         ___For Flowgates, based on the expected import paths or source regions provided by </w:t>
      </w:r>
      <w:r w:rsidR="005178DD">
        <w:rPr>
          <w:rFonts w:ascii="Times New Roman" w:hAnsi="Times New Roman" w:cs="Times New Roman"/>
          <w:color w:val="365F91"/>
          <w:sz w:val="24"/>
          <w:szCs w:val="24"/>
        </w:rPr>
        <w:t>LSEs</w:t>
      </w:r>
      <w:r w:rsidRPr="00D84B46">
        <w:rPr>
          <w:rFonts w:ascii="Times New Roman" w:hAnsi="Times New Roman" w:cs="Times New Roman"/>
          <w:color w:val="365F91"/>
          <w:sz w:val="24"/>
          <w:szCs w:val="24"/>
        </w:rPr>
        <w:t xml:space="preserve"> or </w:t>
      </w:r>
      <w:r w:rsidR="005178DD">
        <w:rPr>
          <w:rFonts w:ascii="Times New Roman" w:hAnsi="Times New Roman" w:cs="Times New Roman"/>
          <w:color w:val="365F91"/>
          <w:sz w:val="24"/>
          <w:szCs w:val="24"/>
        </w:rPr>
        <w:t>RPs</w:t>
      </w:r>
      <w:r w:rsidRPr="00D84B46">
        <w:rPr>
          <w:rFonts w:ascii="Times New Roman" w:hAnsi="Times New Roman" w:cs="Times New Roman"/>
          <w:color w:val="365F91"/>
          <w:sz w:val="24"/>
          <w:szCs w:val="24"/>
        </w:rPr>
        <w:t xml:space="preserve"> and the distribution factors associated with those paths or regions, as determined by the </w:t>
      </w:r>
      <w:r w:rsidR="005178DD">
        <w:rPr>
          <w:rFonts w:ascii="Times New Roman" w:hAnsi="Times New Roman" w:cs="Times New Roman"/>
          <w:color w:val="365F91"/>
          <w:sz w:val="24"/>
          <w:szCs w:val="24"/>
        </w:rPr>
        <w:t>TSP</w:t>
      </w: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DB6C47" w:rsidRPr="00DB6C47" w:rsidRDefault="00DB6C47" w:rsidP="00491C0E">
      <w:pPr>
        <w:pStyle w:val="ListParagraph"/>
        <w:numPr>
          <w:ilvl w:val="0"/>
          <w:numId w:val="21"/>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1"/>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1"/>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1"/>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1"/>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1"/>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491C0E" w:rsidRPr="00271739" w:rsidRDefault="00491C0E" w:rsidP="00491C0E">
      <w:pPr>
        <w:pStyle w:val="Requirement"/>
        <w:numPr>
          <w:ilvl w:val="0"/>
          <w:numId w:val="21"/>
        </w:numPr>
        <w:tabs>
          <w:tab w:val="clear" w:pos="934"/>
          <w:tab w:val="num" w:pos="900"/>
          <w:tab w:val="num" w:pos="936"/>
          <w:tab w:val="left" w:pos="2592"/>
        </w:tabs>
      </w:pPr>
      <w:r>
        <w:t xml:space="preserve">Less than 31 calendar days after </w:t>
      </w:r>
      <w:r w:rsidRPr="00271739">
        <w:t xml:space="preserve">the establishment of CBM, the Transmission Service Provider that maintains CBM shall notify all the </w:t>
      </w:r>
      <w:r>
        <w:t>Load-Serving</w:t>
      </w:r>
      <w:r w:rsidRPr="00271739">
        <w:t xml:space="preserve"> Entities and Resource Planners that determined they had a need for CBM on the Transmission Service Provider’s system of the amount of CBM set aside. [</w:t>
      </w:r>
      <w:r w:rsidRPr="00491C0E">
        <w:rPr>
          <w:i/>
        </w:rPr>
        <w:t>Violation Risk Factor: Lower</w:t>
      </w:r>
      <w:r w:rsidRPr="00271739">
        <w:t>] [</w:t>
      </w:r>
      <w:r w:rsidRPr="00491C0E">
        <w:rPr>
          <w:i/>
        </w:rPr>
        <w:t>Time Horizon: Operations Planning</w:t>
      </w:r>
      <w:r w:rsidRPr="00271739">
        <w:t>]</w:t>
      </w:r>
    </w:p>
    <w:p w:rsidR="00A52681" w:rsidRPr="001F467C" w:rsidRDefault="00A52681" w:rsidP="00491C0E">
      <w:pPr>
        <w:pStyle w:val="Requirement"/>
        <w:numPr>
          <w:ilvl w:val="0"/>
          <w:numId w:val="0"/>
        </w:numPr>
        <w:tabs>
          <w:tab w:val="num" w:pos="936"/>
          <w:tab w:val="left" w:pos="2592"/>
        </w:tabs>
        <w:ind w:left="358"/>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7</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7</w:t>
      </w:r>
    </w:p>
    <w:p w:rsidR="00A52681" w:rsidRPr="005E50A4" w:rsidRDefault="00A52681" w:rsidP="00A52681">
      <w:pPr>
        <w:rPr>
          <w:rFonts w:ascii="Times New Roman" w:hAnsi="Times New Roman" w:cs="Times New Roman"/>
          <w:color w:val="365F91"/>
          <w:sz w:val="24"/>
          <w:szCs w:val="24"/>
        </w:rPr>
      </w:pPr>
    </w:p>
    <w:p w:rsidR="00A52681" w:rsidRPr="005E50A4" w:rsidRDefault="00A52681" w:rsidP="003549BB">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4C5FA0">
        <w:rPr>
          <w:rFonts w:ascii="Times New Roman" w:hAnsi="Times New Roman" w:cs="Times New Roman"/>
          <w:color w:val="365F91"/>
          <w:sz w:val="24"/>
          <w:szCs w:val="24"/>
        </w:rPr>
        <w:t>Verify that l</w:t>
      </w:r>
      <w:r w:rsidR="003549BB" w:rsidRPr="003549BB">
        <w:rPr>
          <w:rFonts w:ascii="Times New Roman" w:hAnsi="Times New Roman" w:cs="Times New Roman"/>
          <w:color w:val="365F91"/>
          <w:sz w:val="24"/>
          <w:szCs w:val="24"/>
        </w:rPr>
        <w:t>ess than 31 calendar days after the establishment of CBM, the T</w:t>
      </w:r>
      <w:r w:rsidR="00305781">
        <w:rPr>
          <w:rFonts w:ascii="Times New Roman" w:hAnsi="Times New Roman" w:cs="Times New Roman"/>
          <w:color w:val="365F91"/>
          <w:sz w:val="24"/>
          <w:szCs w:val="24"/>
        </w:rPr>
        <w:t>SP</w:t>
      </w:r>
      <w:r w:rsidR="003549BB" w:rsidRPr="003549BB">
        <w:rPr>
          <w:rFonts w:ascii="Times New Roman" w:hAnsi="Times New Roman" w:cs="Times New Roman"/>
          <w:color w:val="365F91"/>
          <w:sz w:val="24"/>
          <w:szCs w:val="24"/>
        </w:rPr>
        <w:t xml:space="preserve"> that maintains CBM </w:t>
      </w:r>
      <w:r w:rsidR="005178DD">
        <w:rPr>
          <w:rFonts w:ascii="Times New Roman" w:hAnsi="Times New Roman" w:cs="Times New Roman"/>
          <w:color w:val="365F91"/>
          <w:sz w:val="24"/>
          <w:szCs w:val="24"/>
        </w:rPr>
        <w:t>notified</w:t>
      </w:r>
      <w:r w:rsidR="003549BB" w:rsidRPr="003549BB">
        <w:rPr>
          <w:rFonts w:ascii="Times New Roman" w:hAnsi="Times New Roman" w:cs="Times New Roman"/>
          <w:color w:val="365F91"/>
          <w:sz w:val="24"/>
          <w:szCs w:val="24"/>
        </w:rPr>
        <w:t xml:space="preserve"> all the L</w:t>
      </w:r>
      <w:r w:rsidR="00305781">
        <w:rPr>
          <w:rFonts w:ascii="Times New Roman" w:hAnsi="Times New Roman" w:cs="Times New Roman"/>
          <w:color w:val="365F91"/>
          <w:sz w:val="24"/>
          <w:szCs w:val="24"/>
        </w:rPr>
        <w:t>SE</w:t>
      </w:r>
      <w:r w:rsidR="005178DD">
        <w:rPr>
          <w:rFonts w:ascii="Times New Roman" w:hAnsi="Times New Roman" w:cs="Times New Roman"/>
          <w:color w:val="365F91"/>
          <w:sz w:val="24"/>
          <w:szCs w:val="24"/>
        </w:rPr>
        <w:t>s</w:t>
      </w:r>
      <w:r w:rsidR="003549BB" w:rsidRPr="003549BB">
        <w:rPr>
          <w:rFonts w:ascii="Times New Roman" w:hAnsi="Times New Roman" w:cs="Times New Roman"/>
          <w:color w:val="365F91"/>
          <w:sz w:val="24"/>
          <w:szCs w:val="24"/>
        </w:rPr>
        <w:t xml:space="preserve"> and RP</w:t>
      </w:r>
      <w:r w:rsidR="005178DD">
        <w:rPr>
          <w:rFonts w:ascii="Times New Roman" w:hAnsi="Times New Roman" w:cs="Times New Roman"/>
          <w:color w:val="365F91"/>
          <w:sz w:val="24"/>
          <w:szCs w:val="24"/>
        </w:rPr>
        <w:t>s</w:t>
      </w:r>
      <w:r w:rsidR="003549BB" w:rsidRPr="003549BB">
        <w:rPr>
          <w:rFonts w:ascii="Times New Roman" w:hAnsi="Times New Roman" w:cs="Times New Roman"/>
          <w:color w:val="365F91"/>
          <w:sz w:val="24"/>
          <w:szCs w:val="24"/>
        </w:rPr>
        <w:t xml:space="preserve"> that determined they had a need for CBM on the T</w:t>
      </w:r>
      <w:r w:rsidR="00305781">
        <w:rPr>
          <w:rFonts w:ascii="Times New Roman" w:hAnsi="Times New Roman" w:cs="Times New Roman"/>
          <w:color w:val="365F91"/>
          <w:sz w:val="24"/>
          <w:szCs w:val="24"/>
        </w:rPr>
        <w:t>SP’</w:t>
      </w:r>
      <w:r w:rsidR="003549BB" w:rsidRPr="003549BB">
        <w:rPr>
          <w:rFonts w:ascii="Times New Roman" w:hAnsi="Times New Roman" w:cs="Times New Roman"/>
          <w:color w:val="365F91"/>
          <w:sz w:val="24"/>
          <w:szCs w:val="24"/>
        </w:rPr>
        <w:t>s system</w:t>
      </w:r>
      <w:r w:rsidR="005178DD">
        <w:rPr>
          <w:rFonts w:ascii="Times New Roman" w:hAnsi="Times New Roman" w:cs="Times New Roman"/>
          <w:color w:val="365F91"/>
          <w:sz w:val="24"/>
          <w:szCs w:val="24"/>
        </w:rPr>
        <w:t>,</w:t>
      </w:r>
      <w:r w:rsidR="003549BB" w:rsidRPr="003549BB">
        <w:rPr>
          <w:rFonts w:ascii="Times New Roman" w:hAnsi="Times New Roman" w:cs="Times New Roman"/>
          <w:color w:val="365F91"/>
          <w:sz w:val="24"/>
          <w:szCs w:val="24"/>
        </w:rPr>
        <w:t xml:space="preserve"> of the amount of CBM set aside.</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2"/>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491C0E" w:rsidRDefault="00491C0E" w:rsidP="00491C0E">
      <w:pPr>
        <w:pStyle w:val="Requirement"/>
        <w:numPr>
          <w:ilvl w:val="0"/>
          <w:numId w:val="22"/>
        </w:numPr>
        <w:tabs>
          <w:tab w:val="clear" w:pos="934"/>
          <w:tab w:val="num" w:pos="900"/>
          <w:tab w:val="num" w:pos="936"/>
          <w:tab w:val="left" w:pos="2592"/>
        </w:tabs>
      </w:pPr>
      <w:r w:rsidRPr="00271739">
        <w:t xml:space="preserve">Less than 31 calendar days after the establishment of CBM, the Transmission Planner shall notify all the </w:t>
      </w:r>
      <w:r>
        <w:t>Load-Serving</w:t>
      </w:r>
      <w:r w:rsidRPr="00271739">
        <w:t xml:space="preserve"> Entities and Resource Planners that determined they had a need for CBM on the system being planned by the Transmission Planner of the amount of CBM set aside. [</w:t>
      </w:r>
      <w:r w:rsidRPr="00491C0E">
        <w:rPr>
          <w:i/>
        </w:rPr>
        <w:t>Violation Risk Factor: Lower</w:t>
      </w:r>
      <w:r>
        <w:t>] [</w:t>
      </w:r>
      <w:r w:rsidRPr="00491C0E">
        <w:rPr>
          <w:i/>
        </w:rPr>
        <w:t>Time Horizon: Operations Planning</w:t>
      </w:r>
      <w:r>
        <w:t>]</w:t>
      </w:r>
    </w:p>
    <w:p w:rsidR="00A52681" w:rsidRPr="001F467C" w:rsidRDefault="00A52681" w:rsidP="00491C0E">
      <w:pPr>
        <w:pStyle w:val="Requirement"/>
        <w:numPr>
          <w:ilvl w:val="0"/>
          <w:numId w:val="0"/>
        </w:numPr>
        <w:spacing w:after="0" w:line="360" w:lineRule="exact"/>
        <w:jc w:val="center"/>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8</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8</w:t>
      </w:r>
    </w:p>
    <w:p w:rsidR="00A52681" w:rsidRPr="005E50A4" w:rsidRDefault="00A52681" w:rsidP="00A52681">
      <w:pPr>
        <w:rPr>
          <w:rFonts w:ascii="Times New Roman" w:hAnsi="Times New Roman" w:cs="Times New Roman"/>
          <w:color w:val="365F91"/>
          <w:sz w:val="24"/>
          <w:szCs w:val="24"/>
        </w:rPr>
      </w:pPr>
    </w:p>
    <w:p w:rsidR="003549BB" w:rsidRPr="003549BB" w:rsidRDefault="00A52681" w:rsidP="003549BB">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003549BB" w:rsidRPr="003549BB">
        <w:rPr>
          <w:rFonts w:ascii="Calibri" w:eastAsia="Calibri" w:hAnsi="Calibri" w:cs="Times New Roman"/>
          <w:sz w:val="22"/>
          <w:szCs w:val="22"/>
        </w:rPr>
        <w:t xml:space="preserve"> </w:t>
      </w:r>
      <w:r w:rsidR="004C5FA0">
        <w:rPr>
          <w:rFonts w:ascii="Times New Roman" w:hAnsi="Times New Roman" w:cs="Times New Roman"/>
          <w:color w:val="365F91"/>
          <w:sz w:val="24"/>
          <w:szCs w:val="24"/>
        </w:rPr>
        <w:t>Verify that l</w:t>
      </w:r>
      <w:r w:rsidR="003549BB" w:rsidRPr="003549BB">
        <w:rPr>
          <w:rFonts w:ascii="Times New Roman" w:hAnsi="Times New Roman" w:cs="Times New Roman"/>
          <w:color w:val="365F91"/>
          <w:sz w:val="24"/>
          <w:szCs w:val="24"/>
        </w:rPr>
        <w:t>ess than 31 calendar days after the establishment of CBM,</w:t>
      </w:r>
      <w:r w:rsidR="004C5FA0">
        <w:rPr>
          <w:rFonts w:ascii="Times New Roman" w:hAnsi="Times New Roman" w:cs="Times New Roman"/>
          <w:color w:val="365F91"/>
          <w:sz w:val="24"/>
          <w:szCs w:val="24"/>
        </w:rPr>
        <w:t xml:space="preserve"> the T</w:t>
      </w:r>
      <w:r w:rsidR="00305781">
        <w:rPr>
          <w:rFonts w:ascii="Times New Roman" w:hAnsi="Times New Roman" w:cs="Times New Roman"/>
          <w:color w:val="365F91"/>
          <w:sz w:val="24"/>
          <w:szCs w:val="24"/>
        </w:rPr>
        <w:t>P</w:t>
      </w:r>
      <w:r w:rsidR="004C5FA0">
        <w:rPr>
          <w:rFonts w:ascii="Times New Roman" w:hAnsi="Times New Roman" w:cs="Times New Roman"/>
          <w:color w:val="365F91"/>
          <w:sz w:val="24"/>
          <w:szCs w:val="24"/>
        </w:rPr>
        <w:t xml:space="preserve"> notified</w:t>
      </w:r>
      <w:r w:rsidR="003549BB" w:rsidRPr="003549BB">
        <w:rPr>
          <w:rFonts w:ascii="Times New Roman" w:hAnsi="Times New Roman" w:cs="Times New Roman"/>
          <w:color w:val="365F91"/>
          <w:sz w:val="24"/>
          <w:szCs w:val="24"/>
        </w:rPr>
        <w:t xml:space="preserve"> all the L</w:t>
      </w:r>
      <w:r w:rsidR="00305781">
        <w:rPr>
          <w:rFonts w:ascii="Times New Roman" w:hAnsi="Times New Roman" w:cs="Times New Roman"/>
          <w:color w:val="365F91"/>
          <w:sz w:val="24"/>
          <w:szCs w:val="24"/>
        </w:rPr>
        <w:t>SE</w:t>
      </w:r>
      <w:r w:rsidR="005178DD">
        <w:rPr>
          <w:rFonts w:ascii="Times New Roman" w:hAnsi="Times New Roman" w:cs="Times New Roman"/>
          <w:color w:val="365F91"/>
          <w:sz w:val="24"/>
          <w:szCs w:val="24"/>
        </w:rPr>
        <w:t>s</w:t>
      </w:r>
      <w:r w:rsidR="003549BB" w:rsidRPr="003549BB">
        <w:rPr>
          <w:rFonts w:ascii="Times New Roman" w:hAnsi="Times New Roman" w:cs="Times New Roman"/>
          <w:color w:val="365F91"/>
          <w:sz w:val="24"/>
          <w:szCs w:val="24"/>
        </w:rPr>
        <w:t xml:space="preserve"> and </w:t>
      </w:r>
      <w:r w:rsidR="005178DD" w:rsidRPr="003549BB">
        <w:rPr>
          <w:rFonts w:ascii="Times New Roman" w:hAnsi="Times New Roman" w:cs="Times New Roman"/>
          <w:color w:val="365F91"/>
          <w:sz w:val="24"/>
          <w:szCs w:val="24"/>
        </w:rPr>
        <w:t>R</w:t>
      </w:r>
      <w:r w:rsidR="005178DD">
        <w:rPr>
          <w:rFonts w:ascii="Times New Roman" w:hAnsi="Times New Roman" w:cs="Times New Roman"/>
          <w:color w:val="365F91"/>
          <w:sz w:val="24"/>
          <w:szCs w:val="24"/>
        </w:rPr>
        <w:t>Ps</w:t>
      </w:r>
      <w:r w:rsidR="00AF2609">
        <w:rPr>
          <w:rFonts w:ascii="Times New Roman" w:hAnsi="Times New Roman" w:cs="Times New Roman"/>
          <w:color w:val="365F91"/>
          <w:sz w:val="24"/>
          <w:szCs w:val="24"/>
        </w:rPr>
        <w:fldChar w:fldCharType="begin" w:fldLock="1"/>
      </w:r>
      <w:r w:rsidR="00AF2609">
        <w:rPr>
          <w:rFonts w:ascii="Times New Roman" w:hAnsi="Times New Roman" w:cs="Times New Roman"/>
          <w:color w:val="365F91"/>
          <w:sz w:val="24"/>
          <w:szCs w:val="24"/>
        </w:rPr>
        <w:instrText xml:space="preserve">  </w:instrText>
      </w:r>
      <w:r w:rsidR="00AF2609">
        <w:rPr>
          <w:rFonts w:ascii="Times New Roman" w:hAnsi="Times New Roman" w:cs="Times New Roman"/>
          <w:color w:val="365F91"/>
          <w:sz w:val="24"/>
          <w:szCs w:val="24"/>
        </w:rPr>
        <w:fldChar w:fldCharType="end"/>
      </w:r>
      <w:r w:rsidR="005178DD">
        <w:rPr>
          <w:rFonts w:ascii="Times New Roman" w:hAnsi="Times New Roman" w:cs="Times New Roman"/>
          <w:color w:val="365F91"/>
          <w:sz w:val="24"/>
          <w:szCs w:val="24"/>
        </w:rPr>
        <w:t xml:space="preserve"> that</w:t>
      </w:r>
      <w:r w:rsidR="003549BB" w:rsidRPr="003549BB">
        <w:rPr>
          <w:rFonts w:ascii="Times New Roman" w:hAnsi="Times New Roman" w:cs="Times New Roman"/>
          <w:color w:val="365F91"/>
          <w:sz w:val="24"/>
          <w:szCs w:val="24"/>
        </w:rPr>
        <w:t xml:space="preserve"> determined they had a need for CBM on the system being planned by the TP</w:t>
      </w:r>
      <w:r w:rsidR="005178DD">
        <w:rPr>
          <w:rFonts w:ascii="Times New Roman" w:hAnsi="Times New Roman" w:cs="Times New Roman"/>
          <w:color w:val="365F91"/>
          <w:sz w:val="24"/>
          <w:szCs w:val="24"/>
        </w:rPr>
        <w:t>,</w:t>
      </w:r>
      <w:r w:rsidR="003549BB" w:rsidRPr="003549BB">
        <w:rPr>
          <w:rFonts w:ascii="Times New Roman" w:hAnsi="Times New Roman" w:cs="Times New Roman"/>
          <w:color w:val="365F91"/>
          <w:sz w:val="24"/>
          <w:szCs w:val="24"/>
        </w:rPr>
        <w:t xml:space="preserve"> of the amount of CBM set aside. </w:t>
      </w:r>
    </w:p>
    <w:p w:rsidR="00A52681" w:rsidRPr="005E50A4" w:rsidRDefault="00A52681" w:rsidP="003549BB">
      <w:pPr>
        <w:ind w:left="1530" w:hanging="451"/>
        <w:rPr>
          <w:rFonts w:ascii="Times New Roman" w:hAnsi="Times New Roman" w:cs="Times New Roman"/>
          <w:color w:val="365F91"/>
          <w:sz w:val="24"/>
          <w:szCs w:val="24"/>
        </w:rPr>
      </w:pPr>
    </w:p>
    <w:p w:rsidR="00A52681" w:rsidRPr="005E50A4" w:rsidRDefault="00A52681" w:rsidP="00A52681">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3"/>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491C0E" w:rsidRPr="00165F87" w:rsidRDefault="00491C0E" w:rsidP="00491C0E">
      <w:pPr>
        <w:pStyle w:val="Requirement"/>
        <w:numPr>
          <w:ilvl w:val="0"/>
          <w:numId w:val="23"/>
        </w:numPr>
        <w:tabs>
          <w:tab w:val="clear" w:pos="934"/>
          <w:tab w:val="num" w:pos="900"/>
          <w:tab w:val="num" w:pos="936"/>
          <w:tab w:val="left" w:pos="2592"/>
        </w:tabs>
      </w:pPr>
      <w:r w:rsidRPr="00165F87">
        <w:t>The Transmission Service Provider</w:t>
      </w:r>
      <w:r>
        <w:t xml:space="preserve"> </w:t>
      </w:r>
      <w:r w:rsidRPr="00AC585A">
        <w:t>that maintain</w:t>
      </w:r>
      <w:r>
        <w:t>s</w:t>
      </w:r>
      <w:r w:rsidRPr="00AC585A">
        <w:t xml:space="preserve"> CBM</w:t>
      </w:r>
      <w:r w:rsidRPr="00165F87">
        <w:t xml:space="preserve"> and </w:t>
      </w:r>
      <w:r>
        <w:t xml:space="preserve">the </w:t>
      </w:r>
      <w:r w:rsidRPr="00165F87">
        <w:t xml:space="preserve">Transmission Planner shall each provide </w:t>
      </w:r>
      <w:r>
        <w:t>(</w:t>
      </w:r>
      <w:r w:rsidRPr="00722FA0">
        <w:t>subject to confidentiality and security requirements</w:t>
      </w:r>
      <w:r>
        <w:t xml:space="preserve">) </w:t>
      </w:r>
      <w:r w:rsidRPr="00165F87">
        <w:t xml:space="preserve">copies of the </w:t>
      </w:r>
      <w:r>
        <w:t xml:space="preserve">applicable </w:t>
      </w:r>
      <w:r w:rsidRPr="00165F87">
        <w:t xml:space="preserve">supporting data, including any models, used for </w:t>
      </w:r>
      <w:r>
        <w:t xml:space="preserve">determining CBM or </w:t>
      </w:r>
      <w:r w:rsidRPr="00165F87">
        <w:t xml:space="preserve">allocating CBM over each </w:t>
      </w:r>
      <w:r>
        <w:t>ATC</w:t>
      </w:r>
      <w:r w:rsidRPr="00165F87">
        <w:t xml:space="preserve"> Path or Flowgate to the following:</w:t>
      </w:r>
      <w:r>
        <w:t xml:space="preserve"> </w:t>
      </w:r>
      <w:r w:rsidRPr="00165F87">
        <w:t>[</w:t>
      </w:r>
      <w:r w:rsidRPr="00491C0E">
        <w:rPr>
          <w:i/>
        </w:rPr>
        <w:t>Violation Risk Factor: Lower</w:t>
      </w:r>
      <w:r w:rsidRPr="00165F87">
        <w:t>] [</w:t>
      </w:r>
      <w:r w:rsidRPr="00491C0E">
        <w:rPr>
          <w:i/>
        </w:rPr>
        <w:t>Time Horizon: Operations Planning, Long-term Planning</w:t>
      </w:r>
      <w:r w:rsidRPr="00165F87">
        <w:t>]</w:t>
      </w:r>
    </w:p>
    <w:p w:rsidR="00491C0E" w:rsidRPr="00165F87" w:rsidRDefault="00491C0E" w:rsidP="00491C0E">
      <w:pPr>
        <w:pStyle w:val="Requirement"/>
        <w:numPr>
          <w:ilvl w:val="1"/>
          <w:numId w:val="5"/>
        </w:numPr>
        <w:tabs>
          <w:tab w:val="clear" w:pos="3240"/>
          <w:tab w:val="num" w:pos="1620"/>
          <w:tab w:val="num" w:pos="1728"/>
        </w:tabs>
        <w:ind w:left="1620" w:hanging="720"/>
      </w:pPr>
      <w:r w:rsidRPr="00165F87">
        <w:t xml:space="preserve">Each of its associated Transmission Operators within </w:t>
      </w:r>
      <w:r>
        <w:t>30</w:t>
      </w:r>
      <w:r w:rsidRPr="00165F87">
        <w:t xml:space="preserve"> calendar days of </w:t>
      </w:r>
      <w:r>
        <w:t>their making a request for the data</w:t>
      </w:r>
      <w:r w:rsidRPr="00165F87">
        <w:t xml:space="preserve">.  </w:t>
      </w:r>
    </w:p>
    <w:p w:rsidR="00491C0E" w:rsidRPr="00271739" w:rsidRDefault="00491C0E" w:rsidP="00491C0E">
      <w:pPr>
        <w:pStyle w:val="Requirement"/>
        <w:numPr>
          <w:ilvl w:val="1"/>
          <w:numId w:val="5"/>
        </w:numPr>
        <w:tabs>
          <w:tab w:val="clear" w:pos="3240"/>
          <w:tab w:val="num" w:pos="1620"/>
          <w:tab w:val="num" w:pos="1728"/>
        </w:tabs>
        <w:ind w:left="1620" w:hanging="720"/>
      </w:pPr>
      <w:r w:rsidRPr="00165F87">
        <w:t xml:space="preserve">To any Transmission Service </w:t>
      </w:r>
      <w:r w:rsidRPr="00271739">
        <w:t xml:space="preserve">Provider, Reliability Coordinator, Transmission Planner, Resource Planner, or Planning Coordinator within </w:t>
      </w:r>
      <w:r>
        <w:t>30</w:t>
      </w:r>
      <w:r w:rsidRPr="00271739">
        <w:t xml:space="preserve"> calendar days of their making a request for the data.  </w:t>
      </w:r>
    </w:p>
    <w:p w:rsidR="00A52681" w:rsidRPr="001F467C" w:rsidRDefault="00A52681" w:rsidP="00A52681">
      <w:pPr>
        <w:pStyle w:val="Requirement"/>
        <w:numPr>
          <w:ilvl w:val="0"/>
          <w:numId w:val="0"/>
        </w:numPr>
        <w:spacing w:after="0" w:line="360" w:lineRule="exact"/>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9</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9</w:t>
      </w:r>
    </w:p>
    <w:p w:rsidR="00A52681" w:rsidRPr="005E50A4" w:rsidRDefault="00A52681" w:rsidP="00A52681">
      <w:pPr>
        <w:rPr>
          <w:rFonts w:ascii="Times New Roman" w:hAnsi="Times New Roman" w:cs="Times New Roman"/>
          <w:color w:val="365F91"/>
          <w:sz w:val="24"/>
          <w:szCs w:val="24"/>
        </w:rPr>
      </w:pPr>
    </w:p>
    <w:p w:rsidR="003549BB" w:rsidRDefault="00A52681" w:rsidP="003549BB">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4C5FA0">
        <w:rPr>
          <w:rFonts w:ascii="Times New Roman" w:hAnsi="Times New Roman" w:cs="Times New Roman"/>
          <w:color w:val="365F91"/>
          <w:sz w:val="24"/>
          <w:szCs w:val="24"/>
        </w:rPr>
        <w:t>Verify t</w:t>
      </w:r>
      <w:r w:rsidR="003549BB" w:rsidRPr="003549BB">
        <w:rPr>
          <w:rFonts w:ascii="Times New Roman" w:hAnsi="Times New Roman" w:cs="Times New Roman"/>
          <w:color w:val="365F91"/>
          <w:sz w:val="24"/>
          <w:szCs w:val="24"/>
        </w:rPr>
        <w:t>he T</w:t>
      </w:r>
      <w:r w:rsidR="00305781">
        <w:rPr>
          <w:rFonts w:ascii="Times New Roman" w:hAnsi="Times New Roman" w:cs="Times New Roman"/>
          <w:color w:val="365F91"/>
          <w:sz w:val="24"/>
          <w:szCs w:val="24"/>
        </w:rPr>
        <w:t>SP</w:t>
      </w:r>
      <w:r w:rsidR="003549BB" w:rsidRPr="003549BB">
        <w:rPr>
          <w:rFonts w:ascii="Times New Roman" w:hAnsi="Times New Roman" w:cs="Times New Roman"/>
          <w:color w:val="365F91"/>
          <w:sz w:val="24"/>
          <w:szCs w:val="24"/>
        </w:rPr>
        <w:t xml:space="preserve"> that maintains CBM </w:t>
      </w:r>
      <w:r w:rsidR="00D8600F">
        <w:rPr>
          <w:rFonts w:ascii="Times New Roman" w:hAnsi="Times New Roman" w:cs="Times New Roman"/>
          <w:color w:val="365F91"/>
          <w:sz w:val="24"/>
          <w:szCs w:val="24"/>
        </w:rPr>
        <w:t>and</w:t>
      </w:r>
      <w:r w:rsidR="004C5FA0">
        <w:rPr>
          <w:rFonts w:ascii="Times New Roman" w:hAnsi="Times New Roman" w:cs="Times New Roman"/>
          <w:color w:val="365F91"/>
          <w:sz w:val="24"/>
          <w:szCs w:val="24"/>
        </w:rPr>
        <w:t xml:space="preserve"> the T</w:t>
      </w:r>
      <w:r w:rsidR="00305781">
        <w:rPr>
          <w:rFonts w:ascii="Times New Roman" w:hAnsi="Times New Roman" w:cs="Times New Roman"/>
          <w:color w:val="365F91"/>
          <w:sz w:val="24"/>
          <w:szCs w:val="24"/>
        </w:rPr>
        <w:t>P</w:t>
      </w:r>
      <w:r w:rsidR="004C5FA0">
        <w:rPr>
          <w:rFonts w:ascii="Times New Roman" w:hAnsi="Times New Roman" w:cs="Times New Roman"/>
          <w:color w:val="365F91"/>
          <w:sz w:val="24"/>
          <w:szCs w:val="24"/>
        </w:rPr>
        <w:t xml:space="preserve"> </w:t>
      </w:r>
      <w:r w:rsidR="003549BB" w:rsidRPr="003549BB">
        <w:rPr>
          <w:rFonts w:ascii="Times New Roman" w:hAnsi="Times New Roman" w:cs="Times New Roman"/>
          <w:color w:val="365F91"/>
          <w:sz w:val="24"/>
          <w:szCs w:val="24"/>
        </w:rPr>
        <w:t>provide</w:t>
      </w:r>
      <w:r w:rsidR="004C5FA0">
        <w:rPr>
          <w:rFonts w:ascii="Times New Roman" w:hAnsi="Times New Roman" w:cs="Times New Roman"/>
          <w:color w:val="365F91"/>
          <w:sz w:val="24"/>
          <w:szCs w:val="24"/>
        </w:rPr>
        <w:t>d</w:t>
      </w:r>
      <w:r w:rsidR="003549BB" w:rsidRPr="003549BB">
        <w:rPr>
          <w:rFonts w:ascii="Times New Roman" w:hAnsi="Times New Roman" w:cs="Times New Roman"/>
          <w:color w:val="365F91"/>
          <w:sz w:val="24"/>
          <w:szCs w:val="24"/>
        </w:rPr>
        <w:t xml:space="preserve"> (subject to confidentiality and security requirements) copies of the applicable suppor</w:t>
      </w:r>
      <w:r w:rsidR="00D8600F">
        <w:rPr>
          <w:rFonts w:ascii="Times New Roman" w:hAnsi="Times New Roman" w:cs="Times New Roman"/>
          <w:color w:val="365F91"/>
          <w:sz w:val="24"/>
          <w:szCs w:val="24"/>
        </w:rPr>
        <w:t>ting data, including any models,</w:t>
      </w:r>
      <w:r w:rsidR="003549BB" w:rsidRPr="003549BB">
        <w:rPr>
          <w:rFonts w:ascii="Times New Roman" w:hAnsi="Times New Roman" w:cs="Times New Roman"/>
          <w:color w:val="365F91"/>
          <w:sz w:val="24"/>
          <w:szCs w:val="24"/>
        </w:rPr>
        <w:t xml:space="preserve"> used for determining CBM or allocating CBM over each ATC Path or Flowgate to the following: </w:t>
      </w:r>
    </w:p>
    <w:p w:rsidR="00EF3A37" w:rsidRDefault="00EF3A37" w:rsidP="003549BB">
      <w:pPr>
        <w:ind w:left="1530" w:hanging="451"/>
        <w:rPr>
          <w:rFonts w:ascii="Times New Roman" w:hAnsi="Times New Roman" w:cs="Times New Roman"/>
          <w:color w:val="365F91"/>
          <w:sz w:val="24"/>
          <w:szCs w:val="24"/>
        </w:rPr>
      </w:pPr>
    </w:p>
    <w:p w:rsidR="00EF3A37" w:rsidRPr="00EF3A37" w:rsidRDefault="00A52681" w:rsidP="00EF3A37">
      <w:pPr>
        <w:ind w:left="2520" w:hanging="1441"/>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00EF3A37">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EF3A37" w:rsidRPr="00EF3A37">
        <w:rPr>
          <w:rFonts w:ascii="Times New Roman" w:hAnsi="Times New Roman" w:cs="Times New Roman"/>
          <w:color w:val="365F91"/>
          <w:sz w:val="24"/>
          <w:szCs w:val="24"/>
        </w:rPr>
        <w:t>Each of its associated T</w:t>
      </w:r>
      <w:r w:rsidR="00305781">
        <w:rPr>
          <w:rFonts w:ascii="Times New Roman" w:hAnsi="Times New Roman" w:cs="Times New Roman"/>
          <w:color w:val="365F91"/>
          <w:sz w:val="24"/>
          <w:szCs w:val="24"/>
        </w:rPr>
        <w:t>OP</w:t>
      </w:r>
      <w:r w:rsidR="00D8600F">
        <w:rPr>
          <w:rFonts w:ascii="Times New Roman" w:hAnsi="Times New Roman" w:cs="Times New Roman"/>
          <w:color w:val="365F91"/>
          <w:sz w:val="24"/>
          <w:szCs w:val="24"/>
        </w:rPr>
        <w:t>s</w:t>
      </w:r>
      <w:r w:rsidR="00EF3A37" w:rsidRPr="00EF3A37">
        <w:rPr>
          <w:rFonts w:ascii="Times New Roman" w:hAnsi="Times New Roman" w:cs="Times New Roman"/>
          <w:color w:val="365F91"/>
          <w:sz w:val="24"/>
          <w:szCs w:val="24"/>
        </w:rPr>
        <w:t xml:space="preserve"> within 30 calendar days of their making a request for the data.  </w:t>
      </w:r>
    </w:p>
    <w:p w:rsidR="00A52681" w:rsidRPr="005E50A4" w:rsidRDefault="00A52681" w:rsidP="003549BB">
      <w:pPr>
        <w:ind w:left="1530" w:hanging="451"/>
        <w:rPr>
          <w:rFonts w:ascii="Times New Roman" w:hAnsi="Times New Roman" w:cs="Times New Roman"/>
          <w:color w:val="365F91"/>
          <w:sz w:val="24"/>
          <w:szCs w:val="24"/>
        </w:rPr>
      </w:pPr>
    </w:p>
    <w:p w:rsidR="00A52681" w:rsidRPr="00EF3A37" w:rsidRDefault="00EF3A37" w:rsidP="00EF3A37">
      <w:pPr>
        <w:widowControl w:val="0"/>
        <w:tabs>
          <w:tab w:val="left" w:pos="600"/>
          <w:tab w:val="left" w:pos="2160"/>
        </w:tabs>
        <w:spacing w:line="294" w:lineRule="exact"/>
        <w:ind w:left="2520" w:hanging="720"/>
        <w:rPr>
          <w:rFonts w:ascii="Times New Roman" w:hAnsi="Times New Roman" w:cs="Times New Roman"/>
          <w:color w:val="365F91"/>
          <w:sz w:val="24"/>
          <w:szCs w:val="24"/>
        </w:rPr>
      </w:pPr>
      <w:r w:rsidRPr="00EF3A37">
        <w:rPr>
          <w:rFonts w:ascii="Times New Roman" w:hAnsi="Times New Roman" w:cs="Times New Roman"/>
          <w:color w:val="365F91"/>
          <w:sz w:val="24"/>
          <w:szCs w:val="24"/>
        </w:rPr>
        <w:t xml:space="preserve">     </w:t>
      </w:r>
      <w:r w:rsidRPr="00EF3A37">
        <w:rPr>
          <w:rFonts w:ascii="Times New Roman" w:hAnsi="Times New Roman" w:cs="Times New Roman"/>
          <w:bCs/>
          <w:color w:val="365F91"/>
          <w:sz w:val="24"/>
          <w:szCs w:val="24"/>
        </w:rPr>
        <w:t>___</w:t>
      </w:r>
      <w:r w:rsidRPr="00EF3A37">
        <w:rPr>
          <w:rFonts w:ascii="Times New Roman" w:hAnsi="Times New Roman" w:cs="Times New Roman"/>
          <w:color w:val="365F91"/>
          <w:sz w:val="24"/>
          <w:szCs w:val="24"/>
        </w:rPr>
        <w:t xml:space="preserve"> To any T</w:t>
      </w:r>
      <w:r w:rsidR="00305781">
        <w:rPr>
          <w:rFonts w:ascii="Times New Roman" w:hAnsi="Times New Roman" w:cs="Times New Roman"/>
          <w:color w:val="365F91"/>
          <w:sz w:val="24"/>
          <w:szCs w:val="24"/>
        </w:rPr>
        <w:t>SP</w:t>
      </w:r>
      <w:r w:rsidRPr="00EF3A37">
        <w:rPr>
          <w:rFonts w:ascii="Times New Roman" w:hAnsi="Times New Roman" w:cs="Times New Roman"/>
          <w:color w:val="365F91"/>
          <w:sz w:val="24"/>
          <w:szCs w:val="24"/>
        </w:rPr>
        <w:t>, RC, TP, R</w:t>
      </w:r>
      <w:r w:rsidR="00305781">
        <w:rPr>
          <w:rFonts w:ascii="Times New Roman" w:hAnsi="Times New Roman" w:cs="Times New Roman"/>
          <w:color w:val="365F91"/>
          <w:sz w:val="24"/>
          <w:szCs w:val="24"/>
        </w:rPr>
        <w:t>P</w:t>
      </w:r>
      <w:r w:rsidRPr="00EF3A37">
        <w:rPr>
          <w:rFonts w:ascii="Times New Roman" w:hAnsi="Times New Roman" w:cs="Times New Roman"/>
          <w:color w:val="365F91"/>
          <w:sz w:val="24"/>
          <w:szCs w:val="24"/>
        </w:rPr>
        <w:t>, or Planning Coordinator within 30 calendar days of their making a request for the data.</w:t>
      </w: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4"/>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491C0E" w:rsidRPr="00271739" w:rsidRDefault="00491C0E" w:rsidP="00491C0E">
      <w:pPr>
        <w:pStyle w:val="Requirement"/>
        <w:numPr>
          <w:ilvl w:val="0"/>
          <w:numId w:val="24"/>
        </w:numPr>
        <w:tabs>
          <w:tab w:val="clear" w:pos="934"/>
          <w:tab w:val="num" w:pos="900"/>
          <w:tab w:val="num" w:pos="936"/>
          <w:tab w:val="left" w:pos="2592"/>
        </w:tabs>
      </w:pPr>
      <w:r w:rsidRPr="00271739">
        <w:t>The Load-Serving Entity or Balancing Authority shall request to import energy over firm Transfer Capability set aside as CBM only</w:t>
      </w:r>
      <w:r w:rsidRPr="00271739" w:rsidDel="00BD781E">
        <w:t xml:space="preserve"> </w:t>
      </w:r>
      <w:r w:rsidRPr="00271739">
        <w:t>when experiencing a declared NERC Energy Emergency Alert (EEA) 2 or higher. [</w:t>
      </w:r>
      <w:r w:rsidRPr="00491C0E">
        <w:rPr>
          <w:i/>
        </w:rPr>
        <w:t>Violation Risk Factor: Lower</w:t>
      </w:r>
      <w:r w:rsidRPr="00271739">
        <w:t>] [</w:t>
      </w:r>
      <w:r w:rsidRPr="00491C0E">
        <w:rPr>
          <w:i/>
        </w:rPr>
        <w:t>Time Horizon: Same-day Operations</w:t>
      </w:r>
      <w:r w:rsidRPr="00271739">
        <w:t>]</w:t>
      </w: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1F3140" w:rsidRPr="00052C89" w:rsidRDefault="001F3140" w:rsidP="001F3140">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
          <w:bCs/>
          <w:sz w:val="24"/>
          <w:szCs w:val="24"/>
        </w:rPr>
        <w:t xml:space="preserve">Question: </w:t>
      </w:r>
      <w:r w:rsidRPr="00052C89">
        <w:rPr>
          <w:rFonts w:ascii="Times New Roman" w:hAnsi="Times New Roman" w:cs="Times New Roman"/>
          <w:bCs/>
          <w:sz w:val="24"/>
          <w:szCs w:val="24"/>
        </w:rPr>
        <w:t>Did you</w:t>
      </w:r>
      <w:r w:rsidR="00D8600F" w:rsidRPr="00052C89">
        <w:rPr>
          <w:rFonts w:ascii="Times New Roman" w:hAnsi="Times New Roman" w:cs="Times New Roman"/>
          <w:bCs/>
          <w:sz w:val="24"/>
          <w:szCs w:val="24"/>
        </w:rPr>
        <w:t>,</w:t>
      </w:r>
      <w:r w:rsidRPr="00052C89">
        <w:rPr>
          <w:rFonts w:ascii="Times New Roman" w:hAnsi="Times New Roman" w:cs="Times New Roman"/>
          <w:bCs/>
          <w:sz w:val="24"/>
          <w:szCs w:val="24"/>
        </w:rPr>
        <w:t xml:space="preserve"> </w:t>
      </w:r>
      <w:r w:rsidR="00D8600F" w:rsidRPr="00052C89">
        <w:rPr>
          <w:rFonts w:ascii="Times New Roman" w:hAnsi="Times New Roman" w:cs="Times New Roman"/>
          <w:bCs/>
          <w:sz w:val="24"/>
          <w:szCs w:val="24"/>
        </w:rPr>
        <w:t>as a LSE or BA, request to import energy over firm Transfer Capability set aside as CBM during an</w:t>
      </w:r>
      <w:r w:rsidRPr="00052C89">
        <w:rPr>
          <w:rFonts w:ascii="Times New Roman" w:hAnsi="Times New Roman" w:cs="Times New Roman"/>
          <w:bCs/>
          <w:sz w:val="24"/>
          <w:szCs w:val="24"/>
        </w:rPr>
        <w:t xml:space="preserve"> EEA 2 </w:t>
      </w:r>
      <w:r w:rsidR="00D8600F" w:rsidRPr="00052C89">
        <w:rPr>
          <w:rFonts w:ascii="Times New Roman" w:hAnsi="Times New Roman" w:cs="Times New Roman"/>
          <w:bCs/>
          <w:sz w:val="24"/>
          <w:szCs w:val="24"/>
        </w:rPr>
        <w:t xml:space="preserve">event </w:t>
      </w:r>
      <w:r w:rsidRPr="00052C89">
        <w:rPr>
          <w:rFonts w:ascii="Times New Roman" w:hAnsi="Times New Roman" w:cs="Times New Roman"/>
          <w:bCs/>
          <w:sz w:val="24"/>
          <w:szCs w:val="24"/>
        </w:rPr>
        <w:t>or higher during the audit period</w:t>
      </w:r>
      <w:r w:rsidR="00D8600F" w:rsidRPr="00052C89">
        <w:rPr>
          <w:rFonts w:ascii="Times New Roman" w:hAnsi="Times New Roman" w:cs="Times New Roman"/>
          <w:bCs/>
          <w:sz w:val="24"/>
          <w:szCs w:val="24"/>
        </w:rPr>
        <w:t xml:space="preserve">? </w:t>
      </w:r>
      <w:r w:rsidRPr="00052C89">
        <w:rPr>
          <w:rFonts w:ascii="Times New Roman" w:hAnsi="Times New Roman" w:cs="Times New Roman"/>
          <w:bCs/>
          <w:sz w:val="24"/>
          <w:szCs w:val="24"/>
        </w:rPr>
        <w:t xml:space="preserve">If yes, provide the date of the EEA and </w:t>
      </w:r>
      <w:r w:rsidR="00D8600F" w:rsidRPr="00052C89">
        <w:rPr>
          <w:rFonts w:ascii="Times New Roman" w:hAnsi="Times New Roman" w:cs="Times New Roman"/>
          <w:bCs/>
          <w:sz w:val="24"/>
          <w:szCs w:val="24"/>
        </w:rPr>
        <w:t>provide documentation of the request</w:t>
      </w:r>
      <w:r w:rsidRPr="00052C89">
        <w:rPr>
          <w:rFonts w:ascii="Times New Roman" w:hAnsi="Times New Roman" w:cs="Times New Roman"/>
          <w:bCs/>
          <w:sz w:val="24"/>
          <w:szCs w:val="24"/>
        </w:rPr>
        <w:t>.</w:t>
      </w:r>
    </w:p>
    <w:p w:rsidR="001F3140" w:rsidRPr="009C039C" w:rsidRDefault="001F3140" w:rsidP="001F3140">
      <w:pPr>
        <w:widowControl w:val="0"/>
        <w:tabs>
          <w:tab w:val="left" w:pos="720"/>
        </w:tabs>
        <w:spacing w:line="294" w:lineRule="exact"/>
        <w:ind w:left="720"/>
        <w:rPr>
          <w:rFonts w:ascii="Times New Roman" w:hAnsi="Times New Roman" w:cs="Times New Roman"/>
          <w:b/>
          <w:bCs/>
          <w:i/>
          <w:iCs/>
          <w:color w:val="000000"/>
          <w:sz w:val="24"/>
          <w:szCs w:val="24"/>
        </w:rPr>
      </w:pP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1F3140" w:rsidRPr="009C039C" w:rsidRDefault="001F3140" w:rsidP="001F3140">
      <w:pPr>
        <w:widowControl w:val="0"/>
        <w:tabs>
          <w:tab w:val="left" w:pos="720"/>
        </w:tabs>
        <w:spacing w:line="186" w:lineRule="exact"/>
        <w:ind w:left="720"/>
        <w:rPr>
          <w:rFonts w:ascii="Times New Roman" w:hAnsi="Times New Roman" w:cs="Times New Roman"/>
          <w:sz w:val="24"/>
          <w:szCs w:val="24"/>
        </w:rPr>
      </w:pPr>
    </w:p>
    <w:p w:rsidR="001F3140" w:rsidRPr="009C039C" w:rsidRDefault="001F3140" w:rsidP="001F314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1F3140" w:rsidRPr="009C039C" w:rsidRDefault="001F3140" w:rsidP="001F314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F3140" w:rsidRDefault="001F3140" w:rsidP="001F3140">
      <w:pPr>
        <w:pStyle w:val="Requirement"/>
        <w:numPr>
          <w:ilvl w:val="0"/>
          <w:numId w:val="0"/>
        </w:numPr>
        <w:tabs>
          <w:tab w:val="left" w:pos="2592"/>
        </w:tabs>
        <w:ind w:left="720" w:hanging="720"/>
      </w:pPr>
    </w:p>
    <w:p w:rsidR="008C3D4D" w:rsidRPr="008B3775" w:rsidRDefault="008C3D4D" w:rsidP="008C3D4D">
      <w:pPr>
        <w:pStyle w:val="Heading1"/>
        <w:rPr>
          <w:sz w:val="32"/>
          <w:szCs w:val="32"/>
        </w:rPr>
      </w:pPr>
      <w:r w:rsidRPr="008B3775">
        <w:rPr>
          <w:sz w:val="32"/>
          <w:szCs w:val="32"/>
        </w:rPr>
        <w:t>R</w:t>
      </w:r>
      <w:r>
        <w:rPr>
          <w:sz w:val="32"/>
          <w:szCs w:val="32"/>
        </w:rPr>
        <w:t>10</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1F3140">
      <w:pPr>
        <w:pStyle w:val="Requirement"/>
        <w:numPr>
          <w:ilvl w:val="0"/>
          <w:numId w:val="0"/>
        </w:numPr>
        <w:tabs>
          <w:tab w:val="left" w:pos="2592"/>
        </w:tabs>
        <w:ind w:left="720" w:hanging="720"/>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10</w:t>
      </w:r>
    </w:p>
    <w:p w:rsidR="00A52681" w:rsidRPr="005E50A4" w:rsidRDefault="00A52681" w:rsidP="00A52681">
      <w:pPr>
        <w:rPr>
          <w:rFonts w:ascii="Times New Roman" w:hAnsi="Times New Roman" w:cs="Times New Roman"/>
          <w:color w:val="365F91"/>
          <w:sz w:val="24"/>
          <w:szCs w:val="24"/>
        </w:rPr>
      </w:pPr>
    </w:p>
    <w:p w:rsidR="004C5FA0" w:rsidRDefault="00A52681" w:rsidP="0068311B">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4C5FA0">
        <w:rPr>
          <w:rFonts w:ascii="Times New Roman" w:hAnsi="Times New Roman" w:cs="Times New Roman"/>
          <w:color w:val="365F91"/>
          <w:sz w:val="24"/>
          <w:szCs w:val="24"/>
        </w:rPr>
        <w:t>Verify t</w:t>
      </w:r>
      <w:r w:rsidR="0068311B" w:rsidRPr="0068311B">
        <w:rPr>
          <w:rFonts w:ascii="Times New Roman" w:hAnsi="Times New Roman" w:cs="Times New Roman"/>
          <w:color w:val="365F91"/>
          <w:sz w:val="24"/>
          <w:szCs w:val="24"/>
        </w:rPr>
        <w:t>he L</w:t>
      </w:r>
      <w:r w:rsidR="00305781">
        <w:rPr>
          <w:rFonts w:ascii="Times New Roman" w:hAnsi="Times New Roman" w:cs="Times New Roman"/>
          <w:color w:val="365F91"/>
          <w:sz w:val="24"/>
          <w:szCs w:val="24"/>
        </w:rPr>
        <w:t>SE</w:t>
      </w:r>
      <w:r w:rsidR="0068311B" w:rsidRPr="0068311B">
        <w:rPr>
          <w:rFonts w:ascii="Times New Roman" w:hAnsi="Times New Roman" w:cs="Times New Roman"/>
          <w:color w:val="365F91"/>
          <w:sz w:val="24"/>
          <w:szCs w:val="24"/>
        </w:rPr>
        <w:t xml:space="preserve"> or BA request</w:t>
      </w:r>
      <w:r w:rsidR="004C5FA0">
        <w:rPr>
          <w:rFonts w:ascii="Times New Roman" w:hAnsi="Times New Roman" w:cs="Times New Roman"/>
          <w:color w:val="365F91"/>
          <w:sz w:val="24"/>
          <w:szCs w:val="24"/>
        </w:rPr>
        <w:t>ed</w:t>
      </w:r>
      <w:r w:rsidR="0068311B" w:rsidRPr="0068311B">
        <w:rPr>
          <w:rFonts w:ascii="Times New Roman" w:hAnsi="Times New Roman" w:cs="Times New Roman"/>
          <w:color w:val="365F91"/>
          <w:sz w:val="24"/>
          <w:szCs w:val="24"/>
        </w:rPr>
        <w:t xml:space="preserve"> to import energy over firm Transfer Capability</w:t>
      </w:r>
      <w:r w:rsidR="005D0CB3">
        <w:rPr>
          <w:rFonts w:ascii="Times New Roman" w:hAnsi="Times New Roman" w:cs="Times New Roman"/>
          <w:color w:val="365F91"/>
          <w:sz w:val="24"/>
          <w:szCs w:val="24"/>
        </w:rPr>
        <w:t>,</w:t>
      </w:r>
      <w:r w:rsidR="0068311B" w:rsidRPr="0068311B">
        <w:rPr>
          <w:rFonts w:ascii="Times New Roman" w:hAnsi="Times New Roman" w:cs="Times New Roman"/>
          <w:color w:val="365F91"/>
          <w:sz w:val="24"/>
          <w:szCs w:val="24"/>
        </w:rPr>
        <w:t xml:space="preserve"> set aside as CBM</w:t>
      </w:r>
      <w:r w:rsidR="005D0CB3">
        <w:rPr>
          <w:rFonts w:ascii="Times New Roman" w:hAnsi="Times New Roman" w:cs="Times New Roman"/>
          <w:color w:val="365F91"/>
          <w:sz w:val="24"/>
          <w:szCs w:val="24"/>
        </w:rPr>
        <w:t>,</w:t>
      </w:r>
      <w:r w:rsidR="0068311B" w:rsidRPr="0068311B">
        <w:rPr>
          <w:rFonts w:ascii="Times New Roman" w:hAnsi="Times New Roman" w:cs="Times New Roman"/>
          <w:color w:val="365F91"/>
          <w:sz w:val="24"/>
          <w:szCs w:val="24"/>
        </w:rPr>
        <w:t xml:space="preserve"> only</w:t>
      </w:r>
      <w:r w:rsidR="0068311B" w:rsidRPr="0068311B" w:rsidDel="00BD781E">
        <w:rPr>
          <w:rFonts w:ascii="Times New Roman" w:hAnsi="Times New Roman" w:cs="Times New Roman"/>
          <w:color w:val="365F91"/>
          <w:sz w:val="24"/>
          <w:szCs w:val="24"/>
        </w:rPr>
        <w:t xml:space="preserve"> </w:t>
      </w:r>
      <w:r w:rsidR="0068311B" w:rsidRPr="0068311B">
        <w:rPr>
          <w:rFonts w:ascii="Times New Roman" w:hAnsi="Times New Roman" w:cs="Times New Roman"/>
          <w:color w:val="365F91"/>
          <w:sz w:val="24"/>
          <w:szCs w:val="24"/>
        </w:rPr>
        <w:t xml:space="preserve">when </w:t>
      </w:r>
      <w:r w:rsidR="005D0CB3">
        <w:rPr>
          <w:rFonts w:ascii="Times New Roman" w:hAnsi="Times New Roman" w:cs="Times New Roman"/>
          <w:color w:val="365F91"/>
          <w:sz w:val="24"/>
          <w:szCs w:val="24"/>
        </w:rPr>
        <w:t xml:space="preserve">it </w:t>
      </w:r>
      <w:r w:rsidR="0068311B" w:rsidRPr="0068311B">
        <w:rPr>
          <w:rFonts w:ascii="Times New Roman" w:hAnsi="Times New Roman" w:cs="Times New Roman"/>
          <w:color w:val="365F91"/>
          <w:sz w:val="24"/>
          <w:szCs w:val="24"/>
        </w:rPr>
        <w:t>experienc</w:t>
      </w:r>
      <w:r w:rsidR="005D0CB3">
        <w:rPr>
          <w:rFonts w:ascii="Times New Roman" w:hAnsi="Times New Roman" w:cs="Times New Roman"/>
          <w:color w:val="365F91"/>
          <w:sz w:val="24"/>
          <w:szCs w:val="24"/>
        </w:rPr>
        <w:t>ed</w:t>
      </w:r>
      <w:r w:rsidR="0068311B" w:rsidRPr="0068311B">
        <w:rPr>
          <w:rFonts w:ascii="Times New Roman" w:hAnsi="Times New Roman" w:cs="Times New Roman"/>
          <w:color w:val="365F91"/>
          <w:sz w:val="24"/>
          <w:szCs w:val="24"/>
        </w:rPr>
        <w:t xml:space="preserve"> a declared NERC Energy Emergency Alert (EEA) 2 or higher. </w:t>
      </w:r>
      <w:r w:rsidRPr="005E50A4">
        <w:rPr>
          <w:rFonts w:ascii="Times New Roman" w:hAnsi="Times New Roman" w:cs="Times New Roman"/>
          <w:color w:val="365F91"/>
          <w:sz w:val="24"/>
          <w:szCs w:val="24"/>
        </w:rPr>
        <w:t xml:space="preserve">         </w:t>
      </w:r>
    </w:p>
    <w:p w:rsidR="00A52681" w:rsidRPr="001F467C" w:rsidRDefault="00A52681" w:rsidP="0068311B">
      <w:pPr>
        <w:ind w:left="1530" w:hanging="451"/>
        <w:rPr>
          <w:rFonts w:ascii="Times New Roman" w:hAnsi="Times New Roman" w:cs="Times New Roman"/>
          <w:b/>
          <w:bCs/>
          <w:color w:val="264D74"/>
          <w:sz w:val="24"/>
          <w:szCs w:val="24"/>
        </w:rPr>
      </w:pPr>
      <w:r w:rsidRPr="005E50A4">
        <w:rPr>
          <w:rFonts w:ascii="Times New Roman" w:hAnsi="Times New Roman" w:cs="Times New Roman"/>
          <w:color w:val="365F91"/>
          <w:sz w:val="24"/>
          <w:szCs w:val="24"/>
        </w:rPr>
        <w:t xml:space="preserve">   </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5"/>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491C0E" w:rsidRPr="00F341C5" w:rsidRDefault="00491C0E" w:rsidP="00491C0E">
      <w:pPr>
        <w:pStyle w:val="Requirement"/>
        <w:numPr>
          <w:ilvl w:val="0"/>
          <w:numId w:val="25"/>
        </w:numPr>
        <w:tabs>
          <w:tab w:val="clear" w:pos="934"/>
          <w:tab w:val="num" w:pos="900"/>
          <w:tab w:val="num" w:pos="936"/>
          <w:tab w:val="left" w:pos="2592"/>
        </w:tabs>
      </w:pPr>
      <w:r>
        <w:t xml:space="preserve">When reviewing an Arranged Interchange using CBM, all </w:t>
      </w:r>
      <w:r w:rsidRPr="00F341C5">
        <w:t>Balancing Authorit</w:t>
      </w:r>
      <w:r>
        <w:t>ies and Transmission Service Providers</w:t>
      </w:r>
      <w:r w:rsidRPr="00F341C5">
        <w:t xml:space="preserve"> shall waive</w:t>
      </w:r>
      <w:r>
        <w:t>, within the bounds of reliable operation,</w:t>
      </w:r>
      <w:r w:rsidRPr="00F341C5">
        <w:t xml:space="preserve"> </w:t>
      </w:r>
      <w:r>
        <w:t>any Real-time</w:t>
      </w:r>
      <w:r w:rsidRPr="00F341C5">
        <w:t xml:space="preserve"> timing and ramping requirements</w:t>
      </w:r>
      <w:r>
        <w:t>.</w:t>
      </w:r>
      <w:r w:rsidRPr="008D0C8D">
        <w:t xml:space="preserve"> </w:t>
      </w:r>
      <w:r>
        <w:t>[</w:t>
      </w:r>
      <w:r w:rsidRPr="00491C0E">
        <w:rPr>
          <w:i/>
        </w:rPr>
        <w:t>Violation Risk Factor: Medium</w:t>
      </w:r>
      <w:r>
        <w:t>] [</w:t>
      </w:r>
      <w:r w:rsidRPr="00491C0E">
        <w:rPr>
          <w:i/>
        </w:rPr>
        <w:t>Time Horizon: Same-day Operations</w:t>
      </w:r>
      <w:r>
        <w:t>]</w:t>
      </w:r>
    </w:p>
    <w:p w:rsidR="004C5FA0" w:rsidRDefault="004C5FA0" w:rsidP="00A52681">
      <w:pPr>
        <w:widowControl w:val="0"/>
        <w:tabs>
          <w:tab w:val="left" w:pos="720"/>
        </w:tabs>
        <w:spacing w:line="294" w:lineRule="exact"/>
        <w:ind w:left="720"/>
        <w:rPr>
          <w:rFonts w:ascii="Times New Roman" w:hAnsi="Times New Roman" w:cs="Times New Roman"/>
          <w:b/>
          <w:bCs/>
          <w:sz w:val="24"/>
          <w:szCs w:val="24"/>
        </w:rPr>
      </w:pP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11</w:t>
      </w:r>
      <w:r w:rsidRPr="008B3775">
        <w:rPr>
          <w:sz w:val="32"/>
          <w:szCs w:val="32"/>
        </w:rPr>
        <w:t xml:space="preserve">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11</w:t>
      </w:r>
    </w:p>
    <w:p w:rsidR="00A52681" w:rsidRPr="005E50A4" w:rsidRDefault="00A52681" w:rsidP="00A52681">
      <w:pPr>
        <w:rPr>
          <w:rFonts w:ascii="Times New Roman" w:hAnsi="Times New Roman" w:cs="Times New Roman"/>
          <w:color w:val="365F91"/>
          <w:sz w:val="24"/>
          <w:szCs w:val="24"/>
        </w:rPr>
      </w:pPr>
    </w:p>
    <w:p w:rsidR="00A52681" w:rsidRPr="005E50A4" w:rsidRDefault="00A52681" w:rsidP="0068311B">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4C5FA0">
        <w:rPr>
          <w:rFonts w:ascii="Times New Roman" w:hAnsi="Times New Roman" w:cs="Times New Roman"/>
          <w:color w:val="365F91"/>
          <w:sz w:val="24"/>
          <w:szCs w:val="24"/>
        </w:rPr>
        <w:t>Verify that w</w:t>
      </w:r>
      <w:r w:rsidR="0068311B" w:rsidRPr="0068311B">
        <w:rPr>
          <w:rFonts w:ascii="Times New Roman" w:hAnsi="Times New Roman" w:cs="Times New Roman"/>
          <w:color w:val="365F91"/>
          <w:sz w:val="24"/>
          <w:szCs w:val="24"/>
        </w:rPr>
        <w:t xml:space="preserve">hen reviewing an Arranged Interchange using CBM, </w:t>
      </w:r>
      <w:r w:rsidR="005D0CB3">
        <w:rPr>
          <w:rFonts w:ascii="Times New Roman" w:hAnsi="Times New Roman" w:cs="Times New Roman"/>
          <w:color w:val="365F91"/>
          <w:sz w:val="24"/>
          <w:szCs w:val="24"/>
        </w:rPr>
        <w:t>the</w:t>
      </w:r>
      <w:r w:rsidR="0068311B" w:rsidRPr="0068311B">
        <w:rPr>
          <w:rFonts w:ascii="Times New Roman" w:hAnsi="Times New Roman" w:cs="Times New Roman"/>
          <w:color w:val="365F91"/>
          <w:sz w:val="24"/>
          <w:szCs w:val="24"/>
        </w:rPr>
        <w:t xml:space="preserve"> B</w:t>
      </w:r>
      <w:r w:rsidR="005D0CB3">
        <w:rPr>
          <w:rFonts w:ascii="Times New Roman" w:hAnsi="Times New Roman" w:cs="Times New Roman"/>
          <w:color w:val="365F91"/>
          <w:sz w:val="24"/>
          <w:szCs w:val="24"/>
        </w:rPr>
        <w:t>A</w:t>
      </w:r>
      <w:r w:rsidR="0068311B" w:rsidRPr="0068311B">
        <w:rPr>
          <w:rFonts w:ascii="Times New Roman" w:hAnsi="Times New Roman" w:cs="Times New Roman"/>
          <w:color w:val="365F91"/>
          <w:sz w:val="24"/>
          <w:szCs w:val="24"/>
        </w:rPr>
        <w:t xml:space="preserve"> and T</w:t>
      </w:r>
      <w:r w:rsidR="00305781">
        <w:rPr>
          <w:rFonts w:ascii="Times New Roman" w:hAnsi="Times New Roman" w:cs="Times New Roman"/>
          <w:color w:val="365F91"/>
          <w:sz w:val="24"/>
          <w:szCs w:val="24"/>
        </w:rPr>
        <w:t>SP</w:t>
      </w:r>
      <w:r w:rsidR="0068311B" w:rsidRPr="0068311B">
        <w:rPr>
          <w:rFonts w:ascii="Times New Roman" w:hAnsi="Times New Roman" w:cs="Times New Roman"/>
          <w:color w:val="365F91"/>
          <w:sz w:val="24"/>
          <w:szCs w:val="24"/>
        </w:rPr>
        <w:t xml:space="preserve"> waive</w:t>
      </w:r>
      <w:r w:rsidR="004C5FA0">
        <w:rPr>
          <w:rFonts w:ascii="Times New Roman" w:hAnsi="Times New Roman" w:cs="Times New Roman"/>
          <w:color w:val="365F91"/>
          <w:sz w:val="24"/>
          <w:szCs w:val="24"/>
        </w:rPr>
        <w:t>d</w:t>
      </w:r>
      <w:r w:rsidR="0068311B" w:rsidRPr="0068311B">
        <w:rPr>
          <w:rFonts w:ascii="Times New Roman" w:hAnsi="Times New Roman" w:cs="Times New Roman"/>
          <w:color w:val="365F91"/>
          <w:sz w:val="24"/>
          <w:szCs w:val="24"/>
        </w:rPr>
        <w:t xml:space="preserve">, within the bounds of reliable operation, any Real-time </w:t>
      </w:r>
      <w:r w:rsidR="005D0CB3">
        <w:rPr>
          <w:rFonts w:ascii="Times New Roman" w:hAnsi="Times New Roman" w:cs="Times New Roman"/>
          <w:color w:val="365F91"/>
          <w:sz w:val="24"/>
          <w:szCs w:val="24"/>
        </w:rPr>
        <w:t>timing and ramping requirements</w:t>
      </w:r>
    </w:p>
    <w:p w:rsidR="00A52681" w:rsidRPr="005E50A4" w:rsidRDefault="00A52681" w:rsidP="0068311B">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8C3D4D" w:rsidRDefault="008C3D4D" w:rsidP="00A52681">
      <w:pPr>
        <w:widowControl w:val="0"/>
        <w:tabs>
          <w:tab w:val="left" w:pos="60"/>
        </w:tabs>
        <w:spacing w:line="200" w:lineRule="exact"/>
        <w:rPr>
          <w:rFonts w:ascii="Times New Roman" w:hAnsi="Times New Roman" w:cs="Times New Roman"/>
          <w:b/>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DB6C47" w:rsidRPr="00DB6C47" w:rsidRDefault="00DB6C47" w:rsidP="00491C0E">
      <w:pPr>
        <w:pStyle w:val="ListParagraph"/>
        <w:numPr>
          <w:ilvl w:val="0"/>
          <w:numId w:val="26"/>
        </w:numPr>
        <w:tabs>
          <w:tab w:val="clear" w:pos="934"/>
          <w:tab w:val="num" w:pos="900"/>
          <w:tab w:val="num" w:pos="936"/>
          <w:tab w:val="left" w:pos="2592"/>
          <w:tab w:val="left" w:pos="3240"/>
        </w:tabs>
        <w:autoSpaceDE/>
        <w:autoSpaceDN/>
        <w:adjustRightInd/>
        <w:spacing w:after="120"/>
        <w:rPr>
          <w:rFonts w:ascii="Times New Roman" w:hAnsi="Times New Roman" w:cs="Times New Roman"/>
          <w:vanish/>
          <w:sz w:val="24"/>
          <w:szCs w:val="24"/>
        </w:rPr>
      </w:pPr>
    </w:p>
    <w:p w:rsidR="00491C0E" w:rsidRDefault="00491C0E" w:rsidP="00491C0E">
      <w:pPr>
        <w:pStyle w:val="Requirement"/>
        <w:numPr>
          <w:ilvl w:val="0"/>
          <w:numId w:val="26"/>
        </w:numPr>
        <w:tabs>
          <w:tab w:val="clear" w:pos="934"/>
          <w:tab w:val="num" w:pos="900"/>
          <w:tab w:val="num" w:pos="936"/>
          <w:tab w:val="left" w:pos="2592"/>
        </w:tabs>
      </w:pPr>
      <w:r w:rsidRPr="007B7201">
        <w:t>The T</w:t>
      </w:r>
      <w:r>
        <w:t xml:space="preserve">ransmission </w:t>
      </w:r>
      <w:r w:rsidRPr="007B7201">
        <w:t>S</w:t>
      </w:r>
      <w:r>
        <w:t xml:space="preserve">ervice </w:t>
      </w:r>
      <w:r w:rsidRPr="007B7201">
        <w:t>P</w:t>
      </w:r>
      <w:r>
        <w:t xml:space="preserve">rovider </w:t>
      </w:r>
      <w:r w:rsidRPr="00AC585A">
        <w:t>that maintain</w:t>
      </w:r>
      <w:r>
        <w:t>s</w:t>
      </w:r>
      <w:r w:rsidRPr="00AC585A">
        <w:t xml:space="preserve"> CBM</w:t>
      </w:r>
      <w:r w:rsidRPr="007B7201">
        <w:t xml:space="preserve"> shall </w:t>
      </w:r>
      <w:r>
        <w:t>approve, within the bounds of reliable operation,</w:t>
      </w:r>
      <w:r w:rsidRPr="00F341C5">
        <w:t xml:space="preserve"> </w:t>
      </w:r>
      <w:r>
        <w:t>any Arranged Interchange using CBM that is submitted by</w:t>
      </w:r>
      <w:r w:rsidRPr="007B7201">
        <w:t xml:space="preserve"> an </w:t>
      </w:r>
      <w:r>
        <w:t>“e</w:t>
      </w:r>
      <w:r w:rsidRPr="007B7201">
        <w:t xml:space="preserve">nergy </w:t>
      </w:r>
      <w:r>
        <w:t>d</w:t>
      </w:r>
      <w:r w:rsidRPr="007B7201">
        <w:t xml:space="preserve">eficient </w:t>
      </w:r>
      <w:r>
        <w:t>e</w:t>
      </w:r>
      <w:r w:rsidRPr="007B7201">
        <w:t>ntity</w:t>
      </w:r>
      <w:r w:rsidR="005D0CB3">
        <w:rPr>
          <w:rStyle w:val="FootnoteReference"/>
        </w:rPr>
        <w:footnoteReference w:id="1"/>
      </w:r>
      <w:r>
        <w:t xml:space="preserve">” </w:t>
      </w:r>
      <w:r w:rsidRPr="007B7201">
        <w:t>under an EEA</w:t>
      </w:r>
      <w:r>
        <w:t xml:space="preserve"> </w:t>
      </w:r>
      <w:r w:rsidRPr="007B7201">
        <w:t xml:space="preserve">2 </w:t>
      </w:r>
      <w:r>
        <w:t>if:</w:t>
      </w:r>
      <w:r w:rsidRPr="00427689">
        <w:t xml:space="preserve"> </w:t>
      </w:r>
      <w:r>
        <w:t>[</w:t>
      </w:r>
      <w:r w:rsidRPr="00491C0E">
        <w:rPr>
          <w:i/>
        </w:rPr>
        <w:t>Violation Risk Factor: Medium</w:t>
      </w:r>
      <w:r>
        <w:t>] [</w:t>
      </w:r>
      <w:r w:rsidRPr="00491C0E">
        <w:rPr>
          <w:i/>
        </w:rPr>
        <w:t>Time Horizon: Same-day Operations</w:t>
      </w:r>
      <w:r>
        <w:t xml:space="preserve">] </w:t>
      </w:r>
    </w:p>
    <w:p w:rsidR="00491C0E" w:rsidRDefault="00491C0E" w:rsidP="00491C0E">
      <w:pPr>
        <w:pStyle w:val="Requirement"/>
        <w:numPr>
          <w:ilvl w:val="1"/>
          <w:numId w:val="5"/>
        </w:numPr>
        <w:tabs>
          <w:tab w:val="num" w:pos="1620"/>
          <w:tab w:val="num" w:pos="1728"/>
          <w:tab w:val="left" w:pos="2592"/>
        </w:tabs>
        <w:ind w:left="1620" w:hanging="720"/>
      </w:pPr>
      <w:r>
        <w:t>The</w:t>
      </w:r>
      <w:r w:rsidRPr="007B7201">
        <w:t xml:space="preserve"> CBM is available</w:t>
      </w:r>
    </w:p>
    <w:p w:rsidR="00491C0E" w:rsidRDefault="00491C0E" w:rsidP="00491C0E">
      <w:pPr>
        <w:pStyle w:val="Requirement"/>
        <w:numPr>
          <w:ilvl w:val="1"/>
          <w:numId w:val="5"/>
        </w:numPr>
        <w:tabs>
          <w:tab w:val="num" w:pos="1620"/>
          <w:tab w:val="num" w:pos="1728"/>
          <w:tab w:val="left" w:pos="2592"/>
        </w:tabs>
        <w:ind w:left="1620" w:hanging="720"/>
      </w:pPr>
      <w:r>
        <w:t>The EEA 2 is declared within the Balancing Authority Area of the “energy deficient entity,” and</w:t>
      </w:r>
    </w:p>
    <w:p w:rsidR="00491C0E" w:rsidRDefault="00491C0E" w:rsidP="00491C0E">
      <w:pPr>
        <w:pStyle w:val="Requirement"/>
        <w:numPr>
          <w:ilvl w:val="1"/>
          <w:numId w:val="5"/>
        </w:numPr>
        <w:tabs>
          <w:tab w:val="num" w:pos="1620"/>
          <w:tab w:val="num" w:pos="1728"/>
          <w:tab w:val="left" w:pos="2592"/>
        </w:tabs>
        <w:ind w:left="1620" w:hanging="720"/>
      </w:pPr>
      <w:r>
        <w:t>The Load of the “e</w:t>
      </w:r>
      <w:r w:rsidRPr="00F37F08">
        <w:t xml:space="preserve">nergy </w:t>
      </w:r>
      <w:r>
        <w:t>d</w:t>
      </w:r>
      <w:r w:rsidRPr="00F37F08">
        <w:t xml:space="preserve">eficient </w:t>
      </w:r>
      <w:r>
        <w:t>e</w:t>
      </w:r>
      <w:r w:rsidRPr="00F37F08">
        <w:t>ntity</w:t>
      </w:r>
      <w:r>
        <w:t>”</w:t>
      </w:r>
      <w:r w:rsidRPr="00F37F08">
        <w:t xml:space="preserve"> </w:t>
      </w:r>
      <w:r>
        <w:t>is located within the Transmission Service Provider’s area</w:t>
      </w:r>
      <w:r w:rsidRPr="007B7201">
        <w:t>.</w:t>
      </w:r>
    </w:p>
    <w:p w:rsidR="00A52681" w:rsidRDefault="00A52681" w:rsidP="00A526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A52681" w:rsidRPr="009C039C" w:rsidRDefault="00A52681" w:rsidP="00A526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A52681" w:rsidRPr="001F467C" w:rsidRDefault="00A52681" w:rsidP="00A52681">
      <w:pPr>
        <w:widowControl w:val="0"/>
        <w:tabs>
          <w:tab w:val="left" w:pos="720"/>
        </w:tabs>
        <w:spacing w:line="186" w:lineRule="exact"/>
        <w:ind w:left="720"/>
        <w:rPr>
          <w:rFonts w:ascii="Times New Roman" w:hAnsi="Times New Roman" w:cs="Times New Roman"/>
          <w:sz w:val="24"/>
          <w:szCs w:val="24"/>
        </w:rPr>
      </w:pP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A52681" w:rsidRPr="001F467C" w:rsidRDefault="00A52681" w:rsidP="00A526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Pr="001F467C" w:rsidRDefault="00A52681" w:rsidP="00A52681">
      <w:pPr>
        <w:widowControl w:val="0"/>
        <w:spacing w:line="40" w:lineRule="exact"/>
        <w:rPr>
          <w:rFonts w:ascii="Times New Roman" w:hAnsi="Times New Roman" w:cs="Times New Roman"/>
          <w:sz w:val="24"/>
          <w:szCs w:val="24"/>
        </w:rPr>
      </w:pPr>
    </w:p>
    <w:p w:rsidR="005D0CB3" w:rsidRPr="00052C89" w:rsidRDefault="001F3140" w:rsidP="005D0CB3">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
          <w:bCs/>
          <w:sz w:val="24"/>
          <w:szCs w:val="24"/>
        </w:rPr>
        <w:t xml:space="preserve">Question: </w:t>
      </w:r>
      <w:r w:rsidRPr="00052C89">
        <w:rPr>
          <w:rFonts w:ascii="Times New Roman" w:hAnsi="Times New Roman" w:cs="Times New Roman"/>
          <w:bCs/>
          <w:sz w:val="24"/>
          <w:szCs w:val="24"/>
        </w:rPr>
        <w:t xml:space="preserve">Did you receive a request to approve Arranged Interchange for CBM under an EEA 2 or higher during the audit period? </w:t>
      </w:r>
      <w:r w:rsidR="005D0CB3" w:rsidRPr="00052C89">
        <w:rPr>
          <w:rFonts w:ascii="Times New Roman" w:hAnsi="Times New Roman" w:cs="Times New Roman"/>
          <w:bCs/>
          <w:sz w:val="24"/>
          <w:szCs w:val="24"/>
        </w:rPr>
        <w:t>If yes, provide the date of the EEA and provide documentation of the request.</w:t>
      </w:r>
    </w:p>
    <w:p w:rsidR="001F3140" w:rsidRDefault="001F3140" w:rsidP="001F3140">
      <w:pPr>
        <w:widowControl w:val="0"/>
        <w:tabs>
          <w:tab w:val="left" w:pos="720"/>
        </w:tabs>
        <w:spacing w:line="294" w:lineRule="exact"/>
        <w:ind w:left="720"/>
        <w:rPr>
          <w:rFonts w:ascii="Times New Roman" w:hAnsi="Times New Roman" w:cs="Times New Roman"/>
          <w:b/>
          <w:bCs/>
          <w:sz w:val="24"/>
          <w:szCs w:val="24"/>
        </w:rPr>
      </w:pPr>
    </w:p>
    <w:p w:rsidR="001F3140" w:rsidRPr="009C039C" w:rsidRDefault="001F3140" w:rsidP="001F3140">
      <w:pPr>
        <w:widowControl w:val="0"/>
        <w:tabs>
          <w:tab w:val="left" w:pos="720"/>
        </w:tabs>
        <w:spacing w:line="294" w:lineRule="exact"/>
        <w:ind w:left="720"/>
        <w:rPr>
          <w:rFonts w:ascii="Times New Roman" w:hAnsi="Times New Roman" w:cs="Times New Roman"/>
          <w:b/>
          <w:bCs/>
          <w:i/>
          <w:iCs/>
          <w:color w:val="000000"/>
          <w:sz w:val="24"/>
          <w:szCs w:val="24"/>
        </w:rPr>
      </w:pP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1F3140" w:rsidRPr="009C039C" w:rsidRDefault="001F3140" w:rsidP="001F3140">
      <w:pPr>
        <w:widowControl w:val="0"/>
        <w:tabs>
          <w:tab w:val="left" w:pos="720"/>
        </w:tabs>
        <w:spacing w:line="186" w:lineRule="exact"/>
        <w:ind w:left="720"/>
        <w:rPr>
          <w:rFonts w:ascii="Times New Roman" w:hAnsi="Times New Roman" w:cs="Times New Roman"/>
          <w:sz w:val="24"/>
          <w:szCs w:val="24"/>
        </w:rPr>
      </w:pPr>
    </w:p>
    <w:p w:rsidR="001F3140" w:rsidRPr="009C039C" w:rsidRDefault="001F3140" w:rsidP="001F314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1F3140" w:rsidRPr="009C039C" w:rsidRDefault="001F3140" w:rsidP="001F3140">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52681" w:rsidRDefault="00A52681"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8C3D4D" w:rsidRPr="008B3775" w:rsidRDefault="008C3D4D" w:rsidP="008C3D4D">
      <w:pPr>
        <w:pStyle w:val="Heading1"/>
        <w:rPr>
          <w:sz w:val="32"/>
          <w:szCs w:val="32"/>
        </w:rPr>
      </w:pPr>
      <w:r w:rsidRPr="008B3775">
        <w:rPr>
          <w:sz w:val="32"/>
          <w:szCs w:val="32"/>
        </w:rPr>
        <w:t>R</w:t>
      </w:r>
      <w:r>
        <w:rPr>
          <w:sz w:val="32"/>
          <w:szCs w:val="32"/>
        </w:rPr>
        <w:t>1</w:t>
      </w:r>
      <w:r w:rsidRPr="008B3775">
        <w:rPr>
          <w:sz w:val="32"/>
          <w:szCs w:val="32"/>
        </w:rPr>
        <w:t>2 Supporting Evidence and Documentation</w:t>
      </w:r>
    </w:p>
    <w:p w:rsidR="008C3D4D" w:rsidRDefault="008C3D4D" w:rsidP="008C3D4D">
      <w:pPr>
        <w:widowControl w:val="0"/>
        <w:spacing w:line="266" w:lineRule="exact"/>
        <w:rPr>
          <w:rFonts w:ascii="Times New Roman" w:hAnsi="Times New Roman" w:cs="Times New Roman"/>
          <w:b/>
          <w:bCs/>
          <w:color w:val="FF0000"/>
          <w:sz w:val="24"/>
          <w:szCs w:val="24"/>
        </w:rPr>
      </w:pPr>
    </w:p>
    <w:p w:rsidR="008C3D4D" w:rsidRDefault="008C3D4D" w:rsidP="008C3D4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8C3D4D" w:rsidRDefault="008C3D4D" w:rsidP="008C3D4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C3D4D" w:rsidTr="00B61498">
        <w:trPr>
          <w:gridAfter w:val="1"/>
          <w:wAfter w:w="1224" w:type="dxa"/>
          <w:trHeight w:val="945"/>
        </w:trPr>
        <w:tc>
          <w:tcPr>
            <w:tcW w:w="1098" w:type="dxa"/>
            <w:tcBorders>
              <w:top w:val="nil"/>
              <w:left w:val="nil"/>
              <w:bottom w:val="nil"/>
              <w:right w:val="nil"/>
            </w:tcBorders>
          </w:tcPr>
          <w:p w:rsidR="008C3D4D" w:rsidRDefault="008C3D4D" w:rsidP="00B6149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8C3D4D" w:rsidRDefault="008C3D4D" w:rsidP="00B6149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8C3D4D" w:rsidRDefault="008C3D4D" w:rsidP="00B6149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C3D4D" w:rsidTr="00B61498">
        <w:tc>
          <w:tcPr>
            <w:tcW w:w="78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8C3D4D" w:rsidRDefault="008C3D4D" w:rsidP="00B6149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hideMark/>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r w:rsidR="008C3D4D" w:rsidTr="00B61498">
        <w:tc>
          <w:tcPr>
            <w:tcW w:w="78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8C3D4D" w:rsidRDefault="008C3D4D" w:rsidP="00B61498">
            <w:pPr>
              <w:widowControl w:val="0"/>
              <w:tabs>
                <w:tab w:val="left" w:pos="900"/>
                <w:tab w:val="left" w:pos="6360"/>
              </w:tabs>
              <w:spacing w:line="294" w:lineRule="exact"/>
              <w:rPr>
                <w:rFonts w:ascii="Times New Roman" w:hAnsi="Times New Roman" w:cs="Times New Roman"/>
                <w:b/>
                <w:bCs/>
                <w:sz w:val="24"/>
                <w:szCs w:val="24"/>
              </w:rPr>
            </w:pPr>
          </w:p>
        </w:tc>
      </w:tr>
    </w:tbl>
    <w:p w:rsidR="008C3D4D" w:rsidRDefault="008C3D4D" w:rsidP="00A52681">
      <w:pPr>
        <w:widowControl w:val="0"/>
        <w:tabs>
          <w:tab w:val="left" w:pos="900"/>
          <w:tab w:val="left" w:pos="6360"/>
        </w:tabs>
        <w:spacing w:line="294" w:lineRule="exact"/>
        <w:rPr>
          <w:rFonts w:ascii="Times New Roman" w:hAnsi="Times New Roman" w:cs="Times New Roman"/>
          <w:b/>
          <w:i/>
          <w:iCs/>
          <w:color w:val="C00000"/>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A52681" w:rsidRPr="001F467C" w:rsidRDefault="00A52681" w:rsidP="00A52681">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7F6C77">
        <w:rPr>
          <w:rFonts w:ascii="Times New Roman" w:hAnsi="Times New Roman" w:cs="Times New Roman"/>
          <w:b/>
          <w:bCs/>
          <w:color w:val="264D74"/>
          <w:sz w:val="24"/>
          <w:szCs w:val="24"/>
        </w:rPr>
        <w:t>MOD-004</w:t>
      </w:r>
      <w:r>
        <w:rPr>
          <w:rFonts w:ascii="Times New Roman" w:hAnsi="Times New Roman" w:cs="Times New Roman"/>
          <w:b/>
          <w:bCs/>
          <w:color w:val="003366"/>
          <w:sz w:val="24"/>
          <w:szCs w:val="24"/>
        </w:rPr>
        <w:t>-1 R</w:t>
      </w:r>
      <w:r w:rsidR="008E7CBF">
        <w:rPr>
          <w:rFonts w:ascii="Times New Roman" w:hAnsi="Times New Roman" w:cs="Times New Roman"/>
          <w:b/>
          <w:bCs/>
          <w:color w:val="003366"/>
          <w:sz w:val="24"/>
          <w:szCs w:val="24"/>
        </w:rPr>
        <w:t>12</w:t>
      </w:r>
    </w:p>
    <w:p w:rsidR="00A52681" w:rsidRPr="005E50A4" w:rsidRDefault="00A52681" w:rsidP="00A52681">
      <w:pPr>
        <w:rPr>
          <w:rFonts w:ascii="Times New Roman" w:hAnsi="Times New Roman" w:cs="Times New Roman"/>
          <w:color w:val="365F91"/>
          <w:sz w:val="24"/>
          <w:szCs w:val="24"/>
        </w:rPr>
      </w:pPr>
    </w:p>
    <w:p w:rsidR="0068311B" w:rsidRDefault="00A52681" w:rsidP="0068311B">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0068311B" w:rsidRPr="0068311B">
        <w:rPr>
          <w:rFonts w:ascii="Calibri" w:eastAsia="Calibri" w:hAnsi="Calibri" w:cs="Times New Roman"/>
          <w:sz w:val="22"/>
          <w:szCs w:val="22"/>
        </w:rPr>
        <w:t xml:space="preserve"> </w:t>
      </w:r>
      <w:r w:rsidR="004C5FA0" w:rsidRPr="004C5FA0">
        <w:rPr>
          <w:rFonts w:ascii="Times New Roman" w:eastAsia="Calibri" w:hAnsi="Times New Roman" w:cs="Times New Roman"/>
          <w:color w:val="365F91"/>
          <w:sz w:val="24"/>
          <w:szCs w:val="24"/>
        </w:rPr>
        <w:t>Verify t</w:t>
      </w:r>
      <w:r w:rsidR="0068311B" w:rsidRPr="004C5FA0">
        <w:rPr>
          <w:rFonts w:ascii="Times New Roman" w:hAnsi="Times New Roman" w:cs="Times New Roman"/>
          <w:color w:val="365F91"/>
          <w:sz w:val="24"/>
          <w:szCs w:val="24"/>
        </w:rPr>
        <w:t>he T</w:t>
      </w:r>
      <w:r w:rsidR="00305781">
        <w:rPr>
          <w:rFonts w:ascii="Times New Roman" w:hAnsi="Times New Roman" w:cs="Times New Roman"/>
          <w:color w:val="365F91"/>
          <w:sz w:val="24"/>
          <w:szCs w:val="24"/>
        </w:rPr>
        <w:t>SP</w:t>
      </w:r>
      <w:r w:rsidR="0068311B" w:rsidRPr="0068311B">
        <w:rPr>
          <w:rFonts w:ascii="Times New Roman" w:hAnsi="Times New Roman" w:cs="Times New Roman"/>
          <w:color w:val="365F91"/>
          <w:sz w:val="24"/>
          <w:szCs w:val="24"/>
        </w:rPr>
        <w:t xml:space="preserve"> that maintains CBM approve</w:t>
      </w:r>
      <w:r w:rsidR="004C5FA0">
        <w:rPr>
          <w:rFonts w:ascii="Times New Roman" w:hAnsi="Times New Roman" w:cs="Times New Roman"/>
          <w:color w:val="365F91"/>
          <w:sz w:val="24"/>
          <w:szCs w:val="24"/>
        </w:rPr>
        <w:t>d</w:t>
      </w:r>
      <w:r w:rsidR="0068311B" w:rsidRPr="0068311B">
        <w:rPr>
          <w:rFonts w:ascii="Times New Roman" w:hAnsi="Times New Roman" w:cs="Times New Roman"/>
          <w:color w:val="365F91"/>
          <w:sz w:val="24"/>
          <w:szCs w:val="24"/>
        </w:rPr>
        <w:t xml:space="preserve">, within the bounds of reliable operation, any Arranged Interchange using CBM </w:t>
      </w:r>
      <w:r w:rsidR="005D0CB3">
        <w:rPr>
          <w:rFonts w:ascii="Times New Roman" w:hAnsi="Times New Roman" w:cs="Times New Roman"/>
          <w:color w:val="365F91"/>
          <w:sz w:val="24"/>
          <w:szCs w:val="24"/>
        </w:rPr>
        <w:t>was</w:t>
      </w:r>
      <w:r w:rsidR="0068311B" w:rsidRPr="0068311B">
        <w:rPr>
          <w:rFonts w:ascii="Times New Roman" w:hAnsi="Times New Roman" w:cs="Times New Roman"/>
          <w:color w:val="365F91"/>
          <w:sz w:val="24"/>
          <w:szCs w:val="24"/>
        </w:rPr>
        <w:t xml:space="preserve"> submitted by an “energy deficient entity” under an EEA 2 if:</w:t>
      </w:r>
    </w:p>
    <w:p w:rsidR="0068311B" w:rsidRDefault="0068311B" w:rsidP="0068311B">
      <w:pPr>
        <w:ind w:left="1530" w:hanging="451"/>
        <w:rPr>
          <w:rFonts w:ascii="Times New Roman" w:hAnsi="Times New Roman" w:cs="Times New Roman"/>
          <w:color w:val="365F91"/>
          <w:sz w:val="24"/>
          <w:szCs w:val="24"/>
        </w:rPr>
      </w:pPr>
    </w:p>
    <w:p w:rsidR="00A52681" w:rsidRDefault="0068311B" w:rsidP="0068311B">
      <w:pPr>
        <w:ind w:left="1530" w:hanging="451"/>
        <w:rPr>
          <w:rFonts w:ascii="Times New Roman" w:hAnsi="Times New Roman" w:cs="Times New Roman"/>
          <w:color w:val="365F91"/>
          <w:sz w:val="24"/>
          <w:szCs w:val="24"/>
        </w:rPr>
      </w:pPr>
      <w:r>
        <w:rPr>
          <w:rFonts w:ascii="Times New Roman" w:hAnsi="Times New Roman" w:cs="Times New Roman"/>
          <w:color w:val="365F91"/>
          <w:sz w:val="24"/>
          <w:szCs w:val="24"/>
        </w:rPr>
        <w:t xml:space="preserve">      </w:t>
      </w:r>
      <w:r w:rsidR="00A52681" w:rsidRPr="005E50A4">
        <w:rPr>
          <w:rFonts w:ascii="Times New Roman" w:hAnsi="Times New Roman" w:cs="Times New Roman"/>
          <w:color w:val="365F91"/>
          <w:sz w:val="24"/>
          <w:szCs w:val="24"/>
        </w:rPr>
        <w:t xml:space="preserve">            </w:t>
      </w:r>
      <w:r w:rsidR="00A52681" w:rsidRPr="005E50A4">
        <w:rPr>
          <w:rFonts w:ascii="Times New Roman" w:hAnsi="Times New Roman" w:cs="Times New Roman"/>
          <w:bCs/>
          <w:color w:val="365F91"/>
          <w:sz w:val="24"/>
          <w:szCs w:val="24"/>
        </w:rPr>
        <w:t>___</w:t>
      </w:r>
      <w:r w:rsidR="00A52681" w:rsidRPr="005E50A4">
        <w:rPr>
          <w:rFonts w:ascii="Times New Roman" w:hAnsi="Times New Roman" w:cs="Times New Roman"/>
          <w:color w:val="365F91"/>
          <w:sz w:val="24"/>
          <w:szCs w:val="24"/>
        </w:rPr>
        <w:t xml:space="preserve"> </w:t>
      </w:r>
      <w:r w:rsidRPr="0068311B">
        <w:rPr>
          <w:rFonts w:ascii="Times New Roman" w:hAnsi="Times New Roman" w:cs="Times New Roman"/>
          <w:color w:val="365F91"/>
          <w:sz w:val="24"/>
          <w:szCs w:val="24"/>
        </w:rPr>
        <w:t xml:space="preserve">The CBM </w:t>
      </w:r>
      <w:r w:rsidR="005D0CB3">
        <w:rPr>
          <w:rFonts w:ascii="Times New Roman" w:hAnsi="Times New Roman" w:cs="Times New Roman"/>
          <w:color w:val="365F91"/>
          <w:sz w:val="24"/>
          <w:szCs w:val="24"/>
        </w:rPr>
        <w:t>was</w:t>
      </w:r>
      <w:r w:rsidRPr="0068311B">
        <w:rPr>
          <w:rFonts w:ascii="Times New Roman" w:hAnsi="Times New Roman" w:cs="Times New Roman"/>
          <w:color w:val="365F91"/>
          <w:sz w:val="24"/>
          <w:szCs w:val="24"/>
        </w:rPr>
        <w:t xml:space="preserve"> available</w:t>
      </w:r>
    </w:p>
    <w:p w:rsidR="0068311B" w:rsidRPr="005E50A4" w:rsidRDefault="0068311B" w:rsidP="0068311B">
      <w:pPr>
        <w:ind w:left="1530" w:hanging="451"/>
        <w:rPr>
          <w:rFonts w:ascii="Times New Roman" w:hAnsi="Times New Roman" w:cs="Times New Roman"/>
          <w:color w:val="365F91"/>
          <w:sz w:val="24"/>
          <w:szCs w:val="24"/>
        </w:rPr>
      </w:pPr>
    </w:p>
    <w:p w:rsidR="0068311B" w:rsidRDefault="0068311B" w:rsidP="0068311B">
      <w:pPr>
        <w:ind w:left="2640" w:hanging="1561"/>
        <w:rPr>
          <w:rFonts w:ascii="Times New Roman" w:hAnsi="Times New Roman" w:cs="Times New Roman"/>
          <w:color w:val="365F91"/>
          <w:sz w:val="24"/>
          <w:szCs w:val="24"/>
        </w:rPr>
      </w:pPr>
      <w:r>
        <w:rPr>
          <w:rFonts w:ascii="Times New Roman" w:hAnsi="Times New Roman" w:cs="Times New Roman"/>
          <w:bCs/>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Pr="0068311B">
        <w:rPr>
          <w:rFonts w:ascii="Times New Roman" w:hAnsi="Times New Roman" w:cs="Times New Roman"/>
          <w:color w:val="365F91"/>
          <w:sz w:val="24"/>
          <w:szCs w:val="24"/>
        </w:rPr>
        <w:t xml:space="preserve">The EEA 2 </w:t>
      </w:r>
      <w:r w:rsidR="005D0CB3">
        <w:rPr>
          <w:rFonts w:ascii="Times New Roman" w:hAnsi="Times New Roman" w:cs="Times New Roman"/>
          <w:color w:val="365F91"/>
          <w:sz w:val="24"/>
          <w:szCs w:val="24"/>
        </w:rPr>
        <w:t>was</w:t>
      </w:r>
      <w:r w:rsidRPr="0068311B">
        <w:rPr>
          <w:rFonts w:ascii="Times New Roman" w:hAnsi="Times New Roman" w:cs="Times New Roman"/>
          <w:color w:val="365F91"/>
          <w:sz w:val="24"/>
          <w:szCs w:val="24"/>
        </w:rPr>
        <w:t xml:space="preserve"> declared within the B</w:t>
      </w:r>
      <w:r w:rsidR="00305781">
        <w:rPr>
          <w:rFonts w:ascii="Times New Roman" w:hAnsi="Times New Roman" w:cs="Times New Roman"/>
          <w:color w:val="365F91"/>
          <w:sz w:val="24"/>
          <w:szCs w:val="24"/>
        </w:rPr>
        <w:t>A</w:t>
      </w:r>
      <w:r w:rsidRPr="0068311B">
        <w:rPr>
          <w:rFonts w:ascii="Times New Roman" w:hAnsi="Times New Roman" w:cs="Times New Roman"/>
          <w:color w:val="365F91"/>
          <w:sz w:val="24"/>
          <w:szCs w:val="24"/>
        </w:rPr>
        <w:t xml:space="preserve"> Area of the “energy deficient entity,” and</w:t>
      </w:r>
    </w:p>
    <w:p w:rsidR="0068311B" w:rsidRPr="0068311B" w:rsidRDefault="0068311B" w:rsidP="0068311B">
      <w:pPr>
        <w:ind w:left="2640" w:hanging="1561"/>
        <w:rPr>
          <w:rFonts w:ascii="Times New Roman" w:hAnsi="Times New Roman" w:cs="Times New Roman"/>
          <w:color w:val="365F91"/>
          <w:sz w:val="24"/>
          <w:szCs w:val="24"/>
        </w:rPr>
      </w:pPr>
    </w:p>
    <w:p w:rsidR="0068311B" w:rsidRPr="0068311B" w:rsidRDefault="0068311B" w:rsidP="0068311B">
      <w:pPr>
        <w:widowControl w:val="0"/>
        <w:tabs>
          <w:tab w:val="left" w:pos="1680"/>
        </w:tabs>
        <w:spacing w:line="294" w:lineRule="exact"/>
        <w:ind w:left="2640" w:hanging="1560"/>
        <w:rPr>
          <w:rFonts w:ascii="Times New Roman" w:hAnsi="Times New Roman" w:cs="Times New Roman"/>
          <w:color w:val="365F91"/>
          <w:sz w:val="24"/>
          <w:szCs w:val="24"/>
        </w:rPr>
      </w:pPr>
      <w:r w:rsidRPr="0068311B">
        <w:rPr>
          <w:rFonts w:ascii="Times New Roman" w:hAnsi="Times New Roman" w:cs="Times New Roman"/>
          <w:bCs/>
          <w:color w:val="365F91"/>
          <w:sz w:val="24"/>
          <w:szCs w:val="24"/>
        </w:rPr>
        <w:t xml:space="preserve">                  ___</w:t>
      </w:r>
      <w:r w:rsidRPr="0068311B">
        <w:rPr>
          <w:rFonts w:ascii="Times New Roman" w:hAnsi="Times New Roman" w:cs="Times New Roman"/>
          <w:color w:val="365F91"/>
          <w:sz w:val="24"/>
          <w:szCs w:val="24"/>
        </w:rPr>
        <w:t xml:space="preserve"> The Load of the “energy deficient entity” </w:t>
      </w:r>
      <w:r w:rsidR="005D0CB3">
        <w:rPr>
          <w:rFonts w:ascii="Times New Roman" w:hAnsi="Times New Roman" w:cs="Times New Roman"/>
          <w:color w:val="365F91"/>
          <w:sz w:val="24"/>
          <w:szCs w:val="24"/>
        </w:rPr>
        <w:t>was</w:t>
      </w:r>
      <w:r w:rsidRPr="0068311B">
        <w:rPr>
          <w:rFonts w:ascii="Times New Roman" w:hAnsi="Times New Roman" w:cs="Times New Roman"/>
          <w:color w:val="365F91"/>
          <w:sz w:val="24"/>
          <w:szCs w:val="24"/>
        </w:rPr>
        <w:t xml:space="preserve"> located within the T</w:t>
      </w:r>
      <w:r w:rsidR="00305781">
        <w:rPr>
          <w:rFonts w:ascii="Times New Roman" w:hAnsi="Times New Roman" w:cs="Times New Roman"/>
          <w:color w:val="365F91"/>
          <w:sz w:val="24"/>
          <w:szCs w:val="24"/>
        </w:rPr>
        <w:t>SP</w:t>
      </w:r>
      <w:r w:rsidRPr="0068311B">
        <w:rPr>
          <w:rFonts w:ascii="Times New Roman" w:hAnsi="Times New Roman" w:cs="Times New Roman"/>
          <w:color w:val="365F91"/>
          <w:sz w:val="24"/>
          <w:szCs w:val="24"/>
        </w:rPr>
        <w:t>’s area.</w:t>
      </w:r>
    </w:p>
    <w:p w:rsidR="00A52681" w:rsidRPr="005E50A4" w:rsidRDefault="00A52681" w:rsidP="00A52681">
      <w:pPr>
        <w:widowControl w:val="0"/>
        <w:tabs>
          <w:tab w:val="left" w:pos="60"/>
        </w:tabs>
        <w:spacing w:line="294" w:lineRule="exact"/>
        <w:rPr>
          <w:rFonts w:ascii="Times New Roman" w:hAnsi="Times New Roman" w:cs="Times New Roman"/>
          <w:color w:val="365F91"/>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052C89" w:rsidRDefault="00052C89" w:rsidP="00A52681">
      <w:pPr>
        <w:widowControl w:val="0"/>
        <w:tabs>
          <w:tab w:val="left" w:pos="900"/>
          <w:tab w:val="left" w:pos="6360"/>
        </w:tabs>
        <w:spacing w:line="294" w:lineRule="exact"/>
        <w:rPr>
          <w:rFonts w:ascii="Times New Roman" w:hAnsi="Times New Roman" w:cs="Times New Roman"/>
          <w:b/>
          <w:bCs/>
          <w:color w:val="264D74"/>
          <w:sz w:val="24"/>
          <w:szCs w:val="24"/>
        </w:rPr>
      </w:pPr>
    </w:p>
    <w:p w:rsidR="00A52681" w:rsidRPr="001F467C" w:rsidRDefault="00A52681" w:rsidP="00A526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A52681" w:rsidRPr="001F467C" w:rsidTr="00032186">
        <w:tc>
          <w:tcPr>
            <w:tcW w:w="78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A52681" w:rsidRPr="001F467C" w:rsidRDefault="00A52681" w:rsidP="00032186">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A52681" w:rsidRPr="001F467C" w:rsidTr="00032186">
        <w:tc>
          <w:tcPr>
            <w:tcW w:w="78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r w:rsidR="00A52681" w:rsidRPr="001F467C" w:rsidTr="00032186">
        <w:tc>
          <w:tcPr>
            <w:tcW w:w="78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A52681" w:rsidRPr="001F467C" w:rsidRDefault="00A52681" w:rsidP="00032186">
            <w:pPr>
              <w:widowControl w:val="0"/>
              <w:tabs>
                <w:tab w:val="left" w:pos="900"/>
                <w:tab w:val="left" w:pos="6360"/>
              </w:tabs>
              <w:spacing w:line="294" w:lineRule="exact"/>
              <w:rPr>
                <w:rFonts w:ascii="Times New Roman" w:hAnsi="Times New Roman" w:cs="Times New Roman"/>
                <w:b/>
                <w:bCs/>
                <w:color w:val="264D74"/>
                <w:sz w:val="24"/>
                <w:szCs w:val="24"/>
              </w:rPr>
            </w:pPr>
          </w:p>
        </w:tc>
      </w:tr>
    </w:tbl>
    <w:p w:rsidR="00A52681" w:rsidRDefault="00A52681" w:rsidP="00A52681">
      <w:pPr>
        <w:widowControl w:val="0"/>
        <w:tabs>
          <w:tab w:val="left" w:pos="60"/>
        </w:tabs>
        <w:spacing w:line="200" w:lineRule="exact"/>
        <w:rPr>
          <w:rFonts w:ascii="Times New Roman" w:hAnsi="Times New Roman" w:cs="Times New Roman"/>
          <w:b/>
          <w:sz w:val="24"/>
          <w:szCs w:val="24"/>
        </w:rPr>
      </w:pPr>
    </w:p>
    <w:p w:rsidR="001D0C8A" w:rsidRPr="008C3D4D" w:rsidRDefault="00001BFE" w:rsidP="00052C89">
      <w:pPr>
        <w:pStyle w:val="Heading1"/>
        <w:rPr>
          <w:sz w:val="48"/>
          <w:szCs w:val="48"/>
        </w:rPr>
      </w:pPr>
      <w:r>
        <w:br w:type="page"/>
      </w:r>
      <w:bookmarkStart w:id="6" w:name="RSAW"/>
      <w:bookmarkEnd w:id="6"/>
      <w:r w:rsidR="001D0C8A" w:rsidRPr="008C3D4D">
        <w:rPr>
          <w:sz w:val="48"/>
          <w:szCs w:val="48"/>
        </w:rPr>
        <w:t>Supplemental Information</w:t>
      </w:r>
    </w:p>
    <w:p w:rsidR="001D0C8A" w:rsidRDefault="001D0C8A" w:rsidP="001D0C8A">
      <w:pPr>
        <w:widowControl w:val="0"/>
        <w:tabs>
          <w:tab w:val="left" w:pos="60"/>
        </w:tabs>
        <w:spacing w:line="320" w:lineRule="exact"/>
        <w:rPr>
          <w:rFonts w:ascii="Times New Roman" w:hAnsi="Times New Roman" w:cs="Times New Roman"/>
          <w:sz w:val="24"/>
          <w:szCs w:val="24"/>
        </w:rPr>
      </w:pPr>
    </w:p>
    <w:p w:rsidR="000E6257" w:rsidRPr="00A7057B" w:rsidRDefault="000E6257" w:rsidP="000E6257">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1D0C8A" w:rsidRDefault="001D0C8A" w:rsidP="001D0C8A">
      <w:pPr>
        <w:widowControl w:val="0"/>
        <w:spacing w:line="294" w:lineRule="exact"/>
        <w:rPr>
          <w:rFonts w:ascii="Times New Roman" w:hAnsi="Times New Roman" w:cs="Times New Roman"/>
          <w:sz w:val="24"/>
          <w:szCs w:val="24"/>
        </w:rPr>
      </w:pPr>
    </w:p>
    <w:p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1D0C8A" w:rsidRDefault="001D0C8A" w:rsidP="001D0C8A">
      <w:pPr>
        <w:widowControl w:val="0"/>
        <w:spacing w:line="186" w:lineRule="exact"/>
        <w:rPr>
          <w:rFonts w:ascii="Times New Roman" w:hAnsi="Times New Roman" w:cs="Times New Roman"/>
          <w:sz w:val="24"/>
          <w:szCs w:val="24"/>
        </w:rPr>
      </w:pP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rsidR="001D0C8A" w:rsidRPr="007366E1" w:rsidRDefault="001D0C8A" w:rsidP="001D0C8A">
      <w:pPr>
        <w:widowControl w:val="0"/>
        <w:tabs>
          <w:tab w:val="left" w:pos="900"/>
          <w:tab w:val="left" w:pos="6360"/>
        </w:tabs>
        <w:spacing w:line="294" w:lineRule="exact"/>
        <w:rPr>
          <w:rFonts w:ascii="Tahoma" w:hAnsi="Tahoma" w:cs="Tahoma"/>
          <w:bCs/>
          <w:color w:val="264D74"/>
          <w:sz w:val="40"/>
          <w:szCs w:val="40"/>
        </w:rPr>
      </w:pPr>
    </w:p>
    <w:p w:rsidR="001D0C8A" w:rsidRDefault="001D0C8A" w:rsidP="001D0C8A">
      <w:pPr>
        <w:widowControl w:val="0"/>
        <w:tabs>
          <w:tab w:val="left" w:pos="900"/>
          <w:tab w:val="left" w:pos="6360"/>
        </w:tabs>
        <w:spacing w:line="294" w:lineRule="exact"/>
        <w:rPr>
          <w:rFonts w:ascii="Times New Roman" w:hAnsi="Times New Roman" w:cs="Times New Roman"/>
          <w:b/>
          <w:bCs/>
          <w:color w:val="264D74"/>
          <w:sz w:val="24"/>
          <w:szCs w:val="24"/>
        </w:rPr>
      </w:pPr>
    </w:p>
    <w:p w:rsidR="001D0C8A" w:rsidRDefault="001D0C8A" w:rsidP="001D0C8A">
      <w:pPr>
        <w:pStyle w:val="Heading1"/>
        <w:rPr>
          <w:sz w:val="20"/>
          <w:szCs w:val="20"/>
        </w:rPr>
      </w:pPr>
      <w:r w:rsidRPr="008C3D4D">
        <w:rPr>
          <w:sz w:val="48"/>
          <w:szCs w:val="48"/>
        </w:rPr>
        <w:t>Compliance Findings Summary</w:t>
      </w:r>
      <w:r>
        <w:t xml:space="preserve"> </w:t>
      </w:r>
      <w:r w:rsidRPr="001F77C7">
        <w:rPr>
          <w:sz w:val="20"/>
          <w:szCs w:val="20"/>
        </w:rPr>
        <w:t>(to be filled out by auditor)</w:t>
      </w:r>
    </w:p>
    <w:p w:rsidR="00052C89" w:rsidRPr="00052C89" w:rsidRDefault="00052C89" w:rsidP="00052C89"/>
    <w:tbl>
      <w:tblPr>
        <w:tblW w:w="0" w:type="auto"/>
        <w:tblLook w:val="00A0" w:firstRow="1" w:lastRow="0" w:firstColumn="1" w:lastColumn="0" w:noHBand="0" w:noVBand="0"/>
      </w:tblPr>
      <w:tblGrid>
        <w:gridCol w:w="693"/>
        <w:gridCol w:w="541"/>
        <w:gridCol w:w="617"/>
        <w:gridCol w:w="597"/>
        <w:gridCol w:w="8568"/>
      </w:tblGrid>
      <w:tr w:rsidR="001D0C8A" w:rsidRPr="008374A0" w:rsidTr="00B060A0">
        <w:tc>
          <w:tcPr>
            <w:tcW w:w="693" w:type="dxa"/>
            <w:tcBorders>
              <w:top w:val="single" w:sz="4" w:space="0" w:color="548DD4"/>
              <w:bottom w:val="single" w:sz="4" w:space="0" w:color="548DD4"/>
            </w:tcBorders>
          </w:tcPr>
          <w:p w:rsidR="001D0C8A"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41" w:type="dxa"/>
            <w:tcBorders>
              <w:top w:val="single" w:sz="4" w:space="0" w:color="548DD4"/>
              <w:bottom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617" w:type="dxa"/>
            <w:tcBorders>
              <w:top w:val="single" w:sz="4" w:space="0" w:color="548DD4"/>
              <w:bottom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97" w:type="dxa"/>
            <w:tcBorders>
              <w:top w:val="single" w:sz="4" w:space="0" w:color="548DD4"/>
              <w:bottom w:val="single" w:sz="4" w:space="0" w:color="548DD4"/>
            </w:tcBorders>
          </w:tcPr>
          <w:p w:rsidR="001D0C8A"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568" w:type="dxa"/>
            <w:tcBorders>
              <w:top w:val="single" w:sz="4" w:space="0" w:color="548DD4"/>
              <w:bottom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1D0C8A" w:rsidRPr="008374A0" w:rsidTr="00B060A0">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1D0C8A" w:rsidRPr="008374A0" w:rsidTr="00B060A0">
        <w:tc>
          <w:tcPr>
            <w:tcW w:w="693"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41"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1D0C8A" w:rsidRPr="008374A0" w:rsidTr="00B060A0">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1D0C8A"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1D0C8A"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41"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C4B46"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C4B46"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541"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C4B46"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C4B46"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541"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C4B46"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C4B46"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541"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C4B46"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C4B46"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541"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auto"/>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C4B46" w:rsidRPr="008374A0" w:rsidTr="007F6C77">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C4B46"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541"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F6C77" w:rsidRPr="008374A0" w:rsidTr="007F6C77">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7F6C77"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541"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F6C77" w:rsidRPr="008374A0" w:rsidTr="007F6C77">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7F6C77"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541" w:type="dxa"/>
            <w:tcBorders>
              <w:top w:val="single" w:sz="4" w:space="0" w:color="548DD4"/>
              <w:left w:val="single" w:sz="4" w:space="0" w:color="548DD4"/>
              <w:bottom w:val="single" w:sz="4" w:space="0" w:color="548DD4"/>
              <w:right w:val="single" w:sz="4" w:space="0" w:color="548DD4"/>
            </w:tcBorders>
            <w:shd w:val="clear" w:color="auto" w:fill="DBE5F1"/>
          </w:tcPr>
          <w:p w:rsidR="007F6C77" w:rsidRPr="008374A0"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BE5F1"/>
          </w:tcPr>
          <w:p w:rsidR="007F6C77" w:rsidRPr="008374A0"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BE5F1"/>
          </w:tcPr>
          <w:p w:rsidR="007F6C77" w:rsidRPr="008374A0" w:rsidRDefault="007F6C77"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BE5F1"/>
          </w:tcPr>
          <w:p w:rsidR="007F6C77" w:rsidRPr="008374A0" w:rsidRDefault="007F6C77"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7F6C77" w:rsidRPr="008374A0" w:rsidTr="007F6C77">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7F6C77"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12</w:t>
            </w:r>
          </w:p>
        </w:tc>
        <w:tc>
          <w:tcPr>
            <w:tcW w:w="541"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auto"/>
          </w:tcPr>
          <w:p w:rsidR="007F6C77" w:rsidRPr="008374A0" w:rsidRDefault="007F6C77"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AE6A2C">
      <w:pPr>
        <w:rPr>
          <w:rFonts w:ascii="Times New Roman" w:hAnsi="Times New Roman" w:cs="Times New Roman"/>
          <w:b/>
          <w:color w:val="003366"/>
          <w:sz w:val="24"/>
          <w:szCs w:val="24"/>
        </w:rPr>
      </w:pPr>
    </w:p>
    <w:p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t>Excerpts from FERC Orders -- For Reference Purposes Only</w:t>
      </w:r>
    </w:p>
    <w:p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D355A2">
        <w:rPr>
          <w:rFonts w:ascii="Times New Roman" w:hAnsi="Times New Roman" w:cs="Times New Roman"/>
          <w:b/>
          <w:sz w:val="24"/>
          <w:szCs w:val="24"/>
        </w:rPr>
        <w:t>August 2010</w:t>
      </w:r>
    </w:p>
    <w:p w:rsidR="007B5AA7" w:rsidRPr="007B5AA7" w:rsidRDefault="00E14559"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MOD-004-1</w:t>
      </w:r>
    </w:p>
    <w:p w:rsidR="007B5AA7" w:rsidRPr="007B5AA7" w:rsidRDefault="007B5AA7"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635DEF">
      <w:pPr>
        <w:rPr>
          <w:rFonts w:ascii="Times New Roman" w:hAnsi="Times New Roman" w:cs="Times New Roman"/>
          <w:b/>
          <w:sz w:val="24"/>
          <w:szCs w:val="24"/>
        </w:rPr>
      </w:pPr>
      <w:r w:rsidRPr="007B5AA7">
        <w:rPr>
          <w:rFonts w:ascii="Times New Roman" w:hAnsi="Times New Roman" w:cs="Times New Roman"/>
          <w:b/>
          <w:sz w:val="24"/>
          <w:szCs w:val="24"/>
        </w:rPr>
        <w:t>Order 693</w:t>
      </w:r>
    </w:p>
    <w:p w:rsidR="00AF2609" w:rsidRPr="00AF2609" w:rsidRDefault="00AF2609" w:rsidP="00AF2609">
      <w:pPr>
        <w:rPr>
          <w:rFonts w:ascii="Times New Roman" w:hAnsi="Times New Roman" w:cs="Times New Roman"/>
          <w:sz w:val="24"/>
          <w:szCs w:val="24"/>
        </w:rPr>
      </w:pPr>
    </w:p>
    <w:p w:rsidR="00AF2609" w:rsidRPr="00AF2609" w:rsidRDefault="00AF2609" w:rsidP="00AF2609">
      <w:pPr>
        <w:rPr>
          <w:rFonts w:ascii="Times New Roman" w:hAnsi="Times New Roman" w:cs="Times New Roman"/>
          <w:sz w:val="24"/>
          <w:szCs w:val="24"/>
        </w:rPr>
      </w:pPr>
      <w:r w:rsidRPr="00AF2609">
        <w:rPr>
          <w:rFonts w:ascii="Times New Roman" w:hAnsi="Times New Roman" w:cs="Times New Roman"/>
          <w:sz w:val="24"/>
          <w:szCs w:val="24"/>
        </w:rPr>
        <w:t>1076. The Commission adopts the NOPR proposal not to approve or remand MOD-004-</w:t>
      </w:r>
      <w:r>
        <w:rPr>
          <w:rFonts w:ascii="Times New Roman" w:hAnsi="Times New Roman" w:cs="Times New Roman"/>
          <w:sz w:val="24"/>
          <w:szCs w:val="24"/>
        </w:rPr>
        <w:t xml:space="preserve"> </w:t>
      </w:r>
      <w:r w:rsidRPr="00AF2609">
        <w:rPr>
          <w:rFonts w:ascii="Times New Roman" w:hAnsi="Times New Roman" w:cs="Times New Roman"/>
          <w:sz w:val="24"/>
          <w:szCs w:val="24"/>
        </w:rPr>
        <w:t>0 until the ERO submits additional information. Becau</w:t>
      </w:r>
      <w:r>
        <w:rPr>
          <w:rFonts w:ascii="Times New Roman" w:hAnsi="Times New Roman" w:cs="Times New Roman"/>
          <w:sz w:val="24"/>
          <w:szCs w:val="24"/>
        </w:rPr>
        <w:t xml:space="preserve">se the regional procedures have </w:t>
      </w:r>
      <w:r w:rsidRPr="00AF2609">
        <w:rPr>
          <w:rFonts w:ascii="Times New Roman" w:hAnsi="Times New Roman" w:cs="Times New Roman"/>
          <w:sz w:val="24"/>
          <w:szCs w:val="24"/>
        </w:rPr>
        <w:t>not been submitted to the Commission, it is not possible to</w:t>
      </w:r>
      <w:r>
        <w:rPr>
          <w:rFonts w:ascii="Times New Roman" w:hAnsi="Times New Roman" w:cs="Times New Roman"/>
          <w:sz w:val="24"/>
          <w:szCs w:val="24"/>
        </w:rPr>
        <w:t xml:space="preserve"> determine at this time whether </w:t>
      </w:r>
      <w:r w:rsidRPr="00AF2609">
        <w:rPr>
          <w:rFonts w:ascii="Times New Roman" w:hAnsi="Times New Roman" w:cs="Times New Roman"/>
          <w:sz w:val="24"/>
          <w:szCs w:val="24"/>
        </w:rPr>
        <w:t>MOD-004-0 satisfies the statutory requirement that a proposed Reliability Standard be “just, reasonable, not unduly discriminatory or preferential, and in the public interest.”</w:t>
      </w:r>
      <w:r>
        <w:rPr>
          <w:rFonts w:ascii="Times New Roman" w:hAnsi="Times New Roman" w:cs="Times New Roman"/>
          <w:sz w:val="24"/>
          <w:szCs w:val="24"/>
        </w:rPr>
        <w:t xml:space="preserve"> </w:t>
      </w:r>
      <w:r w:rsidRPr="00AF2609">
        <w:rPr>
          <w:rFonts w:ascii="Times New Roman" w:hAnsi="Times New Roman" w:cs="Times New Roman"/>
          <w:sz w:val="24"/>
          <w:szCs w:val="24"/>
        </w:rPr>
        <w:t>Accordingly, the Commission neither accepts nor remands this Reliability Standar</w:t>
      </w:r>
      <w:r>
        <w:rPr>
          <w:rFonts w:ascii="Times New Roman" w:hAnsi="Times New Roman" w:cs="Times New Roman"/>
          <w:sz w:val="24"/>
          <w:szCs w:val="24"/>
        </w:rPr>
        <w:t xml:space="preserve">d until </w:t>
      </w:r>
      <w:r w:rsidRPr="00AF2609">
        <w:rPr>
          <w:rFonts w:ascii="Times New Roman" w:hAnsi="Times New Roman" w:cs="Times New Roman"/>
          <w:sz w:val="24"/>
          <w:szCs w:val="24"/>
        </w:rPr>
        <w:t>the regional procedures are submitted. In the int</w:t>
      </w:r>
      <w:r>
        <w:rPr>
          <w:rFonts w:ascii="Times New Roman" w:hAnsi="Times New Roman" w:cs="Times New Roman"/>
          <w:sz w:val="24"/>
          <w:szCs w:val="24"/>
        </w:rPr>
        <w:t xml:space="preserve">erim, compliance with MOD-004-0 </w:t>
      </w:r>
      <w:r w:rsidRPr="00AF2609">
        <w:rPr>
          <w:rFonts w:ascii="Times New Roman" w:hAnsi="Times New Roman" w:cs="Times New Roman"/>
          <w:sz w:val="24"/>
          <w:szCs w:val="24"/>
        </w:rPr>
        <w:t>should continue on a voluntary basis, and the Commissio</w:t>
      </w:r>
      <w:r>
        <w:rPr>
          <w:rFonts w:ascii="Times New Roman" w:hAnsi="Times New Roman" w:cs="Times New Roman"/>
          <w:sz w:val="24"/>
          <w:szCs w:val="24"/>
        </w:rPr>
        <w:t xml:space="preserve">n considers compliance with the </w:t>
      </w:r>
      <w:r w:rsidRPr="00AF2609">
        <w:rPr>
          <w:rFonts w:ascii="Times New Roman" w:hAnsi="Times New Roman" w:cs="Times New Roman"/>
          <w:sz w:val="24"/>
          <w:szCs w:val="24"/>
        </w:rPr>
        <w:t>Reliability Standard to be a matter of good utility practice. Consistent with Or</w:t>
      </w:r>
      <w:r>
        <w:rPr>
          <w:rFonts w:ascii="Times New Roman" w:hAnsi="Times New Roman" w:cs="Times New Roman"/>
          <w:sz w:val="24"/>
          <w:szCs w:val="24"/>
        </w:rPr>
        <w:t xml:space="preserve">der No. </w:t>
      </w:r>
      <w:r w:rsidRPr="00AF2609">
        <w:rPr>
          <w:rFonts w:ascii="Times New Roman" w:hAnsi="Times New Roman" w:cs="Times New Roman"/>
          <w:sz w:val="24"/>
          <w:szCs w:val="24"/>
        </w:rPr>
        <w:t xml:space="preserve">890 and comments received in response to the NOPR, </w:t>
      </w:r>
      <w:r>
        <w:rPr>
          <w:rFonts w:ascii="Times New Roman" w:hAnsi="Times New Roman" w:cs="Times New Roman"/>
          <w:sz w:val="24"/>
          <w:szCs w:val="24"/>
        </w:rPr>
        <w:t xml:space="preserve">the Commission directs the ERO, </w:t>
      </w:r>
      <w:r w:rsidRPr="00AF2609">
        <w:rPr>
          <w:rFonts w:ascii="Times New Roman" w:hAnsi="Times New Roman" w:cs="Times New Roman"/>
          <w:sz w:val="24"/>
          <w:szCs w:val="24"/>
        </w:rPr>
        <w:t xml:space="preserve">through the Reliability Standards development </w:t>
      </w:r>
      <w:r>
        <w:rPr>
          <w:rFonts w:ascii="Times New Roman" w:hAnsi="Times New Roman" w:cs="Times New Roman"/>
          <w:sz w:val="24"/>
          <w:szCs w:val="24"/>
        </w:rPr>
        <w:t xml:space="preserve">process, to modify MOD-004-0 as </w:t>
      </w:r>
      <w:r w:rsidRPr="00AF2609">
        <w:rPr>
          <w:rFonts w:ascii="Times New Roman" w:hAnsi="Times New Roman" w:cs="Times New Roman"/>
          <w:sz w:val="24"/>
          <w:szCs w:val="24"/>
        </w:rPr>
        <w:t>discussed below.</w:t>
      </w:r>
    </w:p>
    <w:p w:rsidR="00AF2609" w:rsidRPr="00AF2609" w:rsidRDefault="00AF2609" w:rsidP="00AF2609">
      <w:pPr>
        <w:rPr>
          <w:rFonts w:ascii="Times New Roman" w:hAnsi="Times New Roman" w:cs="Times New Roman"/>
          <w:sz w:val="24"/>
          <w:szCs w:val="24"/>
        </w:rPr>
      </w:pPr>
    </w:p>
    <w:p w:rsidR="00AF2609" w:rsidRPr="00AF2609" w:rsidRDefault="00AF2609" w:rsidP="00AF2609">
      <w:pPr>
        <w:rPr>
          <w:rFonts w:ascii="Times New Roman" w:hAnsi="Times New Roman" w:cs="Times New Roman"/>
          <w:sz w:val="24"/>
          <w:szCs w:val="24"/>
        </w:rPr>
      </w:pPr>
      <w:r w:rsidRPr="00AF2609">
        <w:rPr>
          <w:rFonts w:ascii="Times New Roman" w:hAnsi="Times New Roman" w:cs="Times New Roman"/>
          <w:sz w:val="24"/>
          <w:szCs w:val="24"/>
        </w:rPr>
        <w:t>1082. Accordingly, the Commission neither accepts nor remands MOD-004-0 until the</w:t>
      </w:r>
      <w:r>
        <w:rPr>
          <w:rFonts w:ascii="Times New Roman" w:hAnsi="Times New Roman" w:cs="Times New Roman"/>
          <w:sz w:val="24"/>
          <w:szCs w:val="24"/>
        </w:rPr>
        <w:t xml:space="preserve"> </w:t>
      </w:r>
      <w:r w:rsidRPr="00AF2609">
        <w:rPr>
          <w:rFonts w:ascii="Times New Roman" w:hAnsi="Times New Roman" w:cs="Times New Roman"/>
          <w:sz w:val="24"/>
          <w:szCs w:val="24"/>
        </w:rPr>
        <w:t>ERO submits additional information. In the int</w:t>
      </w:r>
      <w:r>
        <w:rPr>
          <w:rFonts w:ascii="Times New Roman" w:hAnsi="Times New Roman" w:cs="Times New Roman"/>
          <w:sz w:val="24"/>
          <w:szCs w:val="24"/>
        </w:rPr>
        <w:t xml:space="preserve">erim, compliance with MOD-004-0 </w:t>
      </w:r>
      <w:r w:rsidRPr="00AF2609">
        <w:rPr>
          <w:rFonts w:ascii="Times New Roman" w:hAnsi="Times New Roman" w:cs="Times New Roman"/>
          <w:sz w:val="24"/>
          <w:szCs w:val="24"/>
        </w:rPr>
        <w:t>should continue on a voluntary basis, and the Commissio</w:t>
      </w:r>
      <w:r>
        <w:rPr>
          <w:rFonts w:ascii="Times New Roman" w:hAnsi="Times New Roman" w:cs="Times New Roman"/>
          <w:sz w:val="24"/>
          <w:szCs w:val="24"/>
        </w:rPr>
        <w:t xml:space="preserve">n considers compliance with the </w:t>
      </w:r>
      <w:r w:rsidRPr="00AF2609">
        <w:rPr>
          <w:rFonts w:ascii="Times New Roman" w:hAnsi="Times New Roman" w:cs="Times New Roman"/>
          <w:sz w:val="24"/>
          <w:szCs w:val="24"/>
        </w:rPr>
        <w:t>Reliability Standard to be a matter of good utility practice. Although the Commi</w:t>
      </w:r>
      <w:r>
        <w:rPr>
          <w:rFonts w:ascii="Times New Roman" w:hAnsi="Times New Roman" w:cs="Times New Roman"/>
          <w:sz w:val="24"/>
          <w:szCs w:val="24"/>
        </w:rPr>
        <w:t xml:space="preserve">ssion did </w:t>
      </w:r>
      <w:r w:rsidRPr="00AF2609">
        <w:rPr>
          <w:rFonts w:ascii="Times New Roman" w:hAnsi="Times New Roman" w:cs="Times New Roman"/>
          <w:sz w:val="24"/>
          <w:szCs w:val="24"/>
        </w:rPr>
        <w:t>not propose any action with regard to MOD-004-0,</w:t>
      </w:r>
      <w:r>
        <w:rPr>
          <w:rFonts w:ascii="Times New Roman" w:hAnsi="Times New Roman" w:cs="Times New Roman"/>
          <w:sz w:val="24"/>
          <w:szCs w:val="24"/>
        </w:rPr>
        <w:t xml:space="preserve"> it addressed above a number of </w:t>
      </w:r>
      <w:r w:rsidRPr="00AF2609">
        <w:rPr>
          <w:rFonts w:ascii="Times New Roman" w:hAnsi="Times New Roman" w:cs="Times New Roman"/>
          <w:sz w:val="24"/>
          <w:szCs w:val="24"/>
        </w:rPr>
        <w:t>concerns regarding the Reliability Standard, consistent wi</w:t>
      </w:r>
      <w:r>
        <w:rPr>
          <w:rFonts w:ascii="Times New Roman" w:hAnsi="Times New Roman" w:cs="Times New Roman"/>
          <w:sz w:val="24"/>
          <w:szCs w:val="24"/>
        </w:rPr>
        <w:t xml:space="preserve">th those set forth in Order No. </w:t>
      </w:r>
      <w:r w:rsidRPr="00AF2609">
        <w:rPr>
          <w:rFonts w:ascii="Times New Roman" w:hAnsi="Times New Roman" w:cs="Times New Roman"/>
          <w:sz w:val="24"/>
          <w:szCs w:val="24"/>
        </w:rPr>
        <w:t>890. Therefore, we direct the ERO to develop modifications to the Reliabilit</w:t>
      </w:r>
      <w:r>
        <w:rPr>
          <w:rFonts w:ascii="Times New Roman" w:hAnsi="Times New Roman" w:cs="Times New Roman"/>
          <w:sz w:val="24"/>
          <w:szCs w:val="24"/>
        </w:rPr>
        <w:t xml:space="preserve">y Standard </w:t>
      </w:r>
      <w:r w:rsidRPr="00AF2609">
        <w:rPr>
          <w:rFonts w:ascii="Times New Roman" w:hAnsi="Times New Roman" w:cs="Times New Roman"/>
          <w:sz w:val="24"/>
          <w:szCs w:val="24"/>
        </w:rPr>
        <w:t>through the Reliability Standards development process to</w:t>
      </w:r>
      <w:r>
        <w:rPr>
          <w:rFonts w:ascii="Times New Roman" w:hAnsi="Times New Roman" w:cs="Times New Roman"/>
          <w:sz w:val="24"/>
          <w:szCs w:val="24"/>
        </w:rPr>
        <w:t xml:space="preserve">: (1) clarify that CBM shall be </w:t>
      </w:r>
      <w:r w:rsidRPr="00AF2609">
        <w:rPr>
          <w:rFonts w:ascii="Times New Roman" w:hAnsi="Times New Roman" w:cs="Times New Roman"/>
          <w:sz w:val="24"/>
          <w:szCs w:val="24"/>
        </w:rPr>
        <w:t xml:space="preserve">set aside upon request of any LSE within a balancing area to </w:t>
      </w:r>
      <w:r>
        <w:rPr>
          <w:rFonts w:ascii="Times New Roman" w:hAnsi="Times New Roman" w:cs="Times New Roman"/>
          <w:sz w:val="24"/>
          <w:szCs w:val="24"/>
        </w:rPr>
        <w:t xml:space="preserve">meet its verifiable historical, </w:t>
      </w:r>
      <w:r w:rsidRPr="00AF2609">
        <w:rPr>
          <w:rFonts w:ascii="Times New Roman" w:hAnsi="Times New Roman" w:cs="Times New Roman"/>
          <w:sz w:val="24"/>
          <w:szCs w:val="24"/>
        </w:rPr>
        <w:t>state, RTO or regional generation reliability criteria; (2) deve</w:t>
      </w:r>
      <w:r>
        <w:rPr>
          <w:rFonts w:ascii="Times New Roman" w:hAnsi="Times New Roman" w:cs="Times New Roman"/>
          <w:sz w:val="24"/>
          <w:szCs w:val="24"/>
        </w:rPr>
        <w:t xml:space="preserve">lop requirements regarding </w:t>
      </w:r>
      <w:r w:rsidRPr="00AF2609">
        <w:rPr>
          <w:rFonts w:ascii="Times New Roman" w:hAnsi="Times New Roman" w:cs="Times New Roman"/>
          <w:sz w:val="24"/>
          <w:szCs w:val="24"/>
        </w:rPr>
        <w:t xml:space="preserve">transparency of the generation planning studies used to </w:t>
      </w:r>
      <w:r>
        <w:rPr>
          <w:rFonts w:ascii="Times New Roman" w:hAnsi="Times New Roman" w:cs="Times New Roman"/>
          <w:sz w:val="24"/>
          <w:szCs w:val="24"/>
        </w:rPr>
        <w:t xml:space="preserve">determine CBM value; (3) modify </w:t>
      </w:r>
      <w:r w:rsidRPr="00AF2609">
        <w:rPr>
          <w:rFonts w:ascii="Times New Roman" w:hAnsi="Times New Roman" w:cs="Times New Roman"/>
          <w:sz w:val="24"/>
          <w:szCs w:val="24"/>
        </w:rPr>
        <w:t xml:space="preserve">the current Requirements to make clear the process </w:t>
      </w:r>
      <w:r>
        <w:rPr>
          <w:rFonts w:ascii="Times New Roman" w:hAnsi="Times New Roman" w:cs="Times New Roman"/>
          <w:sz w:val="24"/>
          <w:szCs w:val="24"/>
        </w:rPr>
        <w:t xml:space="preserve">for how CBM is allocated across </w:t>
      </w:r>
      <w:r w:rsidRPr="00AF2609">
        <w:rPr>
          <w:rFonts w:ascii="Times New Roman" w:hAnsi="Times New Roman" w:cs="Times New Roman"/>
          <w:sz w:val="24"/>
          <w:szCs w:val="24"/>
        </w:rPr>
        <w:t>transmission paths or flowgates; (3) modify its standard in order to prevent setting aside CBM and TRM for th</w:t>
      </w:r>
      <w:r>
        <w:rPr>
          <w:rFonts w:ascii="Times New Roman" w:hAnsi="Times New Roman" w:cs="Times New Roman"/>
          <w:sz w:val="24"/>
          <w:szCs w:val="24"/>
        </w:rPr>
        <w:t xml:space="preserve">e same purposes; (4) modify the </w:t>
      </w:r>
      <w:r w:rsidRPr="00AF2609">
        <w:rPr>
          <w:rFonts w:ascii="Times New Roman" w:hAnsi="Times New Roman" w:cs="Times New Roman"/>
          <w:sz w:val="24"/>
          <w:szCs w:val="24"/>
        </w:rPr>
        <w:t>standard by adding LSE as an</w:t>
      </w:r>
      <w:r>
        <w:rPr>
          <w:rFonts w:ascii="Times New Roman" w:hAnsi="Times New Roman" w:cs="Times New Roman"/>
          <w:sz w:val="24"/>
          <w:szCs w:val="24"/>
        </w:rPr>
        <w:t xml:space="preserve"> </w:t>
      </w:r>
      <w:r w:rsidRPr="00AF2609">
        <w:rPr>
          <w:rFonts w:ascii="Times New Roman" w:hAnsi="Times New Roman" w:cs="Times New Roman"/>
          <w:sz w:val="24"/>
          <w:szCs w:val="24"/>
        </w:rPr>
        <w:t>applicable entity and (5) coordinate with NAESB business practice standards.</w:t>
      </w:r>
      <w:r>
        <w:rPr>
          <w:rFonts w:ascii="Times New Roman" w:hAnsi="Times New Roman" w:cs="Times New Roman"/>
          <w:sz w:val="24"/>
          <w:szCs w:val="24"/>
        </w:rPr>
        <w:t xml:space="preserve"> </w:t>
      </w:r>
      <w:r w:rsidRPr="00AF2609">
        <w:rPr>
          <w:rFonts w:ascii="Times New Roman" w:hAnsi="Times New Roman" w:cs="Times New Roman"/>
          <w:sz w:val="24"/>
          <w:szCs w:val="24"/>
        </w:rPr>
        <w:t>1083. We direct the ERO to consider APPA’s suggestion that MOD-004-0</w:t>
      </w:r>
      <w:r>
        <w:rPr>
          <w:rFonts w:ascii="Times New Roman" w:hAnsi="Times New Roman" w:cs="Times New Roman"/>
          <w:sz w:val="24"/>
          <w:szCs w:val="24"/>
        </w:rPr>
        <w:t xml:space="preserve"> may be </w:t>
      </w:r>
      <w:r w:rsidRPr="00AF2609">
        <w:rPr>
          <w:rFonts w:ascii="Times New Roman" w:hAnsi="Times New Roman" w:cs="Times New Roman"/>
          <w:sz w:val="24"/>
          <w:szCs w:val="24"/>
        </w:rPr>
        <w:t>redundant and should be eliminated if the ERO develops</w:t>
      </w:r>
      <w:r>
        <w:rPr>
          <w:rFonts w:ascii="Times New Roman" w:hAnsi="Times New Roman" w:cs="Times New Roman"/>
          <w:sz w:val="24"/>
          <w:szCs w:val="24"/>
        </w:rPr>
        <w:t xml:space="preserve"> a modification to the MOD-002- </w:t>
      </w:r>
      <w:r w:rsidRPr="00AF2609">
        <w:rPr>
          <w:rFonts w:ascii="Times New Roman" w:hAnsi="Times New Roman" w:cs="Times New Roman"/>
          <w:sz w:val="24"/>
          <w:szCs w:val="24"/>
        </w:rPr>
        <w:t>0 Reliability Standard that includes reporting requirements</w:t>
      </w:r>
    </w:p>
    <w:p w:rsidR="00635DEF" w:rsidRDefault="00635DEF" w:rsidP="004C005C">
      <w:pPr>
        <w:widowControl w:val="0"/>
        <w:tabs>
          <w:tab w:val="left" w:pos="60"/>
        </w:tabs>
        <w:spacing w:line="200" w:lineRule="exact"/>
        <w:rPr>
          <w:rFonts w:ascii="Times New Roman" w:hAnsi="Times New Roman" w:cs="Times New Roman"/>
          <w:sz w:val="24"/>
          <w:szCs w:val="24"/>
        </w:rPr>
      </w:pPr>
    </w:p>
    <w:p w:rsidR="00B76301" w:rsidRPr="00B76301" w:rsidRDefault="00EA4C32" w:rsidP="00EA4C32">
      <w:pPr>
        <w:widowControl w:val="0"/>
        <w:tabs>
          <w:tab w:val="left" w:pos="60"/>
        </w:tabs>
        <w:rPr>
          <w:rFonts w:ascii="Times New Roman" w:hAnsi="Times New Roman" w:cs="Times New Roman"/>
          <w:b/>
          <w:sz w:val="24"/>
          <w:szCs w:val="24"/>
        </w:rPr>
      </w:pPr>
      <w:r>
        <w:rPr>
          <w:rFonts w:ascii="Times New Roman" w:hAnsi="Times New Roman" w:cs="Times New Roman"/>
          <w:b/>
          <w:sz w:val="24"/>
          <w:szCs w:val="24"/>
        </w:rPr>
        <w:t>Order 729-</w:t>
      </w:r>
      <w:r w:rsidR="00B76301" w:rsidRPr="00B76301">
        <w:rPr>
          <w:rFonts w:ascii="Times New Roman" w:hAnsi="Times New Roman" w:cs="Times New Roman"/>
          <w:b/>
          <w:sz w:val="24"/>
          <w:szCs w:val="24"/>
        </w:rPr>
        <w:t>Order on ATC</w:t>
      </w:r>
    </w:p>
    <w:p w:rsidR="00B76301" w:rsidRPr="00B76301" w:rsidRDefault="00B76301" w:rsidP="00EA4C32">
      <w:pPr>
        <w:widowControl w:val="0"/>
        <w:tabs>
          <w:tab w:val="left" w:pos="60"/>
        </w:tabs>
        <w:rPr>
          <w:rFonts w:ascii="Times New Roman" w:hAnsi="Times New Roman" w:cs="Times New Roman"/>
          <w:b/>
          <w:sz w:val="24"/>
          <w:szCs w:val="24"/>
        </w:rPr>
      </w:pPr>
      <w:r w:rsidRPr="00B76301">
        <w:rPr>
          <w:rFonts w:ascii="Times New Roman" w:hAnsi="Times New Roman" w:cs="Times New Roman"/>
          <w:b/>
          <w:sz w:val="24"/>
          <w:szCs w:val="24"/>
        </w:rPr>
        <w:t>(November 24, 2009)</w:t>
      </w:r>
    </w:p>
    <w:p w:rsidR="00B76301" w:rsidRPr="00B76301" w:rsidRDefault="00B76301" w:rsidP="004C005C">
      <w:pPr>
        <w:widowControl w:val="0"/>
        <w:tabs>
          <w:tab w:val="left" w:pos="60"/>
        </w:tabs>
        <w:spacing w:line="200" w:lineRule="exact"/>
        <w:rPr>
          <w:rFonts w:ascii="Times New Roman" w:hAnsi="Times New Roman" w:cs="Times New Roman"/>
          <w:sz w:val="24"/>
          <w:szCs w:val="24"/>
        </w:rPr>
      </w:pPr>
    </w:p>
    <w:p w:rsidR="00B76301" w:rsidRDefault="00B76301" w:rsidP="00B76301">
      <w:pPr>
        <w:rPr>
          <w:rFonts w:ascii="Times New Roman" w:hAnsi="Times New Roman" w:cs="Times New Roman"/>
          <w:sz w:val="24"/>
          <w:szCs w:val="24"/>
        </w:rPr>
      </w:pPr>
      <w:r w:rsidRPr="00B76301">
        <w:rPr>
          <w:rFonts w:ascii="Times New Roman" w:hAnsi="Times New Roman" w:cs="Times New Roman"/>
          <w:sz w:val="24"/>
          <w:szCs w:val="24"/>
        </w:rPr>
        <w:t>26. The Capacity Benefit Margin Methodology Reliability Standard (MOD-004-1) provides for the calculation of capacity benefit margin. NERC defines capacity benefit margin as the amount of firm transmission capability set aside by the transmission service provider for load-serving entities, whose loads are located on that transmission service provider’s system, to enable access by the load-serving entities to generation from interconnected systems to meet generation reliability requirements.</w:t>
      </w:r>
      <w:r>
        <w:rPr>
          <w:rFonts w:ascii="Times New Roman" w:hAnsi="Times New Roman" w:cs="Times New Roman"/>
          <w:b/>
          <w:bCs/>
          <w:sz w:val="24"/>
          <w:szCs w:val="24"/>
        </w:rPr>
        <w:t xml:space="preserve"> </w:t>
      </w:r>
      <w:r w:rsidRPr="00B76301">
        <w:rPr>
          <w:rFonts w:ascii="Times New Roman" w:hAnsi="Times New Roman" w:cs="Times New Roman"/>
          <w:sz w:val="24"/>
          <w:szCs w:val="24"/>
        </w:rPr>
        <w:t>The purpose of this Reliability Standard is to promote the consistent and reliable calculation, verification, setting aside, and use of capacity benefit margin to support analysis and system operations. NERC states that setting aside of capacity benefit margin for a load-serving entity allows that entity to reduce its installed generating capacity below that which may otherwise have been necessary without interconnections to meet its generation reliability requirements. NERC states that the transmission transfer capability preserved as capacity benefit margin is intended to be used by the load-serving entities only in times of emergency generation deficiencies.</w:t>
      </w:r>
    </w:p>
    <w:p w:rsidR="00EA4C32" w:rsidRDefault="00EA4C32" w:rsidP="00B76301">
      <w:pPr>
        <w:rPr>
          <w:rFonts w:ascii="Times New Roman" w:hAnsi="Times New Roman" w:cs="Times New Roman"/>
          <w:sz w:val="24"/>
          <w:szCs w:val="24"/>
        </w:rPr>
      </w:pPr>
    </w:p>
    <w:p w:rsidR="00EA4C32" w:rsidRPr="00EA4C32" w:rsidRDefault="00EA4C32" w:rsidP="00EA4C32">
      <w:pPr>
        <w:rPr>
          <w:rFonts w:ascii="Times New Roman" w:hAnsi="Times New Roman" w:cs="Times New Roman"/>
          <w:sz w:val="24"/>
          <w:szCs w:val="24"/>
        </w:rPr>
      </w:pPr>
      <w:r w:rsidRPr="00EA4C32">
        <w:rPr>
          <w:rFonts w:ascii="Times New Roman" w:hAnsi="Times New Roman" w:cs="Times New Roman"/>
          <w:sz w:val="24"/>
          <w:szCs w:val="24"/>
        </w:rPr>
        <w:t>27. Reliability Standard MOD-004-1 applies to transmission service providers, transmission planners, load-serving entities, resource planners and balancing authorities. As discussed more fully below, NERC states that it does not specify a particular methodology for calculating capacity benefit margin, but rather improves transparency by requiring adherence to specific documented and transparent methodology to ensure consistent and reliable calculation, verification, preservation and use of capacity benefit margin.</w:t>
      </w:r>
    </w:p>
    <w:p w:rsidR="00B76301" w:rsidRPr="00B76301" w:rsidRDefault="00B76301" w:rsidP="00B76301">
      <w:pPr>
        <w:widowControl w:val="0"/>
        <w:tabs>
          <w:tab w:val="left" w:pos="60"/>
        </w:tabs>
        <w:spacing w:line="200" w:lineRule="exact"/>
        <w:rPr>
          <w:rFonts w:ascii="Times New Roman" w:hAnsi="Times New Roman" w:cs="Times New Roman"/>
          <w:sz w:val="24"/>
          <w:szCs w:val="24"/>
        </w:rPr>
      </w:pPr>
    </w:p>
    <w:p w:rsidR="00B76301" w:rsidRPr="00B76301" w:rsidRDefault="00B76301" w:rsidP="00B76301">
      <w:pPr>
        <w:rPr>
          <w:rFonts w:ascii="Times New Roman" w:hAnsi="Times New Roman" w:cs="Times New Roman"/>
          <w:sz w:val="24"/>
          <w:szCs w:val="24"/>
        </w:rPr>
      </w:pPr>
      <w:r w:rsidRPr="00B76301">
        <w:rPr>
          <w:rFonts w:ascii="Times New Roman" w:hAnsi="Times New Roman" w:cs="Times New Roman"/>
          <w:sz w:val="24"/>
          <w:szCs w:val="24"/>
        </w:rPr>
        <w:t>110…Accordingly, the Commission directs the ERO to audit the capacity benefit margin and transfer reliability margin implementation documents, created pursuant to MOD-004-1 and MOD-008-1 respectively, to ensure that these documents include information, in such detail that, given the same information, the results of the capacity benefit margin or transfer reliability margin calculation can be validated.</w:t>
      </w:r>
    </w:p>
    <w:p w:rsidR="00B76301" w:rsidRPr="00B76301" w:rsidRDefault="00B76301" w:rsidP="00B76301">
      <w:pPr>
        <w:widowControl w:val="0"/>
        <w:tabs>
          <w:tab w:val="left" w:pos="60"/>
        </w:tabs>
        <w:spacing w:line="200" w:lineRule="exact"/>
        <w:rPr>
          <w:rFonts w:ascii="Times New Roman" w:hAnsi="Times New Roman" w:cs="Times New Roman"/>
          <w:b/>
          <w:bCs/>
          <w:sz w:val="24"/>
          <w:szCs w:val="24"/>
        </w:rPr>
      </w:pPr>
    </w:p>
    <w:p w:rsidR="00B76301" w:rsidRPr="00B76301" w:rsidRDefault="00B76301" w:rsidP="00B76301">
      <w:pPr>
        <w:rPr>
          <w:rFonts w:ascii="Times New Roman" w:hAnsi="Times New Roman" w:cs="Times New Roman"/>
          <w:sz w:val="24"/>
          <w:szCs w:val="24"/>
        </w:rPr>
      </w:pPr>
      <w:r w:rsidRPr="00B76301">
        <w:rPr>
          <w:rFonts w:ascii="Times New Roman" w:hAnsi="Times New Roman" w:cs="Times New Roman"/>
          <w:sz w:val="24"/>
          <w:szCs w:val="24"/>
        </w:rPr>
        <w:t>220. We agree with NERC that a transmission service provider should consider any information provided in establishing an appropriate level of capacity benefit margin. Similarly, we agree with the Georgia Companies that all relevant information should be considered in establishing an appropriate level of capacity benefit margin, including information provided by customers. However, in determining the appropriate generation capacity import requirement as part of the sum of capacity benefit margin to be requested from the transmission service provider, it would not be appropriate for a load-serving entity or resource planner to rely exclusively on a reserve margin or adequacy requirement established by an entity that is not subject to this Standard. Thus, we hereby adopt the NOPR proposal to direct the ERO to develop a modification to Requirements R3.1 and R.4.1 of MOD-004-1 to require load-serving entities and resource planners to determine generation capability import requirements by reference to one or more relevant studies (loss of load expectation, loss of load probability or deterministic risk analysis) and applicable reserve margin or resource adequacy requirements, as relevant. Such a modification should ensure that a transmission service provider has adequate information to establish and applicable reserve margin or resource adequacy requirements, as relevant. Such a modification should ensure that a transmission service provider has adequate information to establish the appropriate level of capacity benefit margin.</w:t>
      </w:r>
    </w:p>
    <w:p w:rsidR="00B76301" w:rsidRPr="00B76301" w:rsidRDefault="00B76301" w:rsidP="00B76301">
      <w:pPr>
        <w:widowControl w:val="0"/>
        <w:tabs>
          <w:tab w:val="left" w:pos="60"/>
        </w:tabs>
        <w:spacing w:line="200" w:lineRule="exact"/>
        <w:rPr>
          <w:rFonts w:ascii="Times New Roman" w:hAnsi="Times New Roman" w:cs="Times New Roman"/>
          <w:sz w:val="24"/>
          <w:szCs w:val="24"/>
        </w:rPr>
      </w:pPr>
    </w:p>
    <w:p w:rsidR="00B76301" w:rsidRPr="00B76301" w:rsidRDefault="00B76301" w:rsidP="00B76301">
      <w:pPr>
        <w:rPr>
          <w:rFonts w:ascii="Times New Roman" w:hAnsi="Times New Roman" w:cs="Times New Roman"/>
          <w:sz w:val="24"/>
          <w:szCs w:val="24"/>
        </w:rPr>
      </w:pPr>
      <w:r w:rsidRPr="00B76301">
        <w:rPr>
          <w:rFonts w:ascii="Times New Roman" w:hAnsi="Times New Roman" w:cs="Times New Roman"/>
          <w:sz w:val="24"/>
          <w:szCs w:val="24"/>
        </w:rPr>
        <w:t>222</w:t>
      </w:r>
      <w:r w:rsidR="009C562B">
        <w:rPr>
          <w:rFonts w:ascii="Times New Roman" w:hAnsi="Times New Roman" w:cs="Times New Roman"/>
          <w:sz w:val="24"/>
          <w:szCs w:val="24"/>
        </w:rPr>
        <w:t>…</w:t>
      </w:r>
      <w:r w:rsidRPr="00B76301">
        <w:rPr>
          <w:rFonts w:ascii="Times New Roman" w:hAnsi="Times New Roman" w:cs="Times New Roman"/>
          <w:sz w:val="24"/>
          <w:szCs w:val="24"/>
        </w:rPr>
        <w:t>Therefore, pursuant to section 215(d)(5) of the FPA and section 39.5(f) of our regulations, the Commission directs the ERO to modify MOD-004-1 to clarify the term “manage” in Requirement R1.3. This modification should ensure that the Reliability Standard clarify how the transmission service provider will manage situations where the requested use of capacity benefit margin exceeds the capacity benefit margin available.</w:t>
      </w:r>
    </w:p>
    <w:p w:rsidR="00B76301" w:rsidRDefault="00B76301" w:rsidP="00B76301">
      <w:pPr>
        <w:rPr>
          <w:rFonts w:ascii="Times New Roman" w:hAnsi="Times New Roman" w:cs="Times New Roman"/>
          <w:sz w:val="26"/>
          <w:szCs w:val="26"/>
        </w:rPr>
      </w:pPr>
    </w:p>
    <w:p w:rsidR="00B76301" w:rsidRDefault="009C562B" w:rsidP="009C562B">
      <w:pPr>
        <w:rPr>
          <w:rFonts w:ascii="Times New Roman" w:hAnsi="Times New Roman" w:cs="Times New Roman"/>
          <w:sz w:val="24"/>
          <w:szCs w:val="24"/>
        </w:rPr>
      </w:pPr>
      <w:r w:rsidRPr="009C562B">
        <w:rPr>
          <w:rFonts w:ascii="Times New Roman" w:hAnsi="Times New Roman" w:cs="Times New Roman"/>
          <w:sz w:val="24"/>
          <w:szCs w:val="24"/>
        </w:rPr>
        <w:t>288. The Commission hereby adopts the NOPR proposal and approves NERC’</w:t>
      </w:r>
      <w:r>
        <w:rPr>
          <w:rFonts w:ascii="Times New Roman" w:hAnsi="Times New Roman" w:cs="Times New Roman"/>
          <w:sz w:val="24"/>
          <w:szCs w:val="24"/>
        </w:rPr>
        <w:t xml:space="preserve">s request </w:t>
      </w:r>
      <w:r w:rsidRPr="009C562B">
        <w:rPr>
          <w:rFonts w:ascii="Times New Roman" w:hAnsi="Times New Roman" w:cs="Times New Roman"/>
          <w:sz w:val="24"/>
          <w:szCs w:val="24"/>
        </w:rPr>
        <w:t>to retire MOD-006-0 and MOD-007-0 and to withdraw its request for approval of</w:t>
      </w:r>
      <w:r>
        <w:rPr>
          <w:rFonts w:ascii="Times New Roman" w:hAnsi="Times New Roman" w:cs="Times New Roman"/>
          <w:sz w:val="24"/>
          <w:szCs w:val="24"/>
        </w:rPr>
        <w:t xml:space="preserve"> </w:t>
      </w:r>
      <w:r w:rsidRPr="009C562B">
        <w:rPr>
          <w:rFonts w:ascii="Times New Roman" w:hAnsi="Times New Roman" w:cs="Times New Roman"/>
          <w:sz w:val="24"/>
          <w:szCs w:val="24"/>
        </w:rPr>
        <w:t>MOD-001-0, MOD-002-0, MOD-003-0, MOD-004-0, MOD-005-0, MOD-008-0, and</w:t>
      </w:r>
      <w:r>
        <w:rPr>
          <w:rFonts w:ascii="Times New Roman" w:hAnsi="Times New Roman" w:cs="Times New Roman"/>
          <w:sz w:val="24"/>
          <w:szCs w:val="24"/>
        </w:rPr>
        <w:t xml:space="preserve"> </w:t>
      </w:r>
      <w:r w:rsidRPr="009C562B">
        <w:rPr>
          <w:rFonts w:ascii="Times New Roman" w:hAnsi="Times New Roman" w:cs="Times New Roman"/>
          <w:sz w:val="24"/>
          <w:szCs w:val="24"/>
        </w:rPr>
        <w:t>MOD-009-0. The Commission also finds that M</w:t>
      </w:r>
      <w:r>
        <w:rPr>
          <w:rFonts w:ascii="Times New Roman" w:hAnsi="Times New Roman" w:cs="Times New Roman"/>
          <w:sz w:val="24"/>
          <w:szCs w:val="24"/>
        </w:rPr>
        <w:t xml:space="preserve">OD-001-0, MOD-002-0, MOD-003-0, </w:t>
      </w:r>
      <w:r w:rsidRPr="009C562B">
        <w:rPr>
          <w:rFonts w:ascii="Times New Roman" w:hAnsi="Times New Roman" w:cs="Times New Roman"/>
          <w:sz w:val="24"/>
          <w:szCs w:val="24"/>
        </w:rPr>
        <w:t>MOD-004-0, MOD-005-0, MOD-008-0, and MOD-</w:t>
      </w:r>
      <w:r>
        <w:rPr>
          <w:rFonts w:ascii="Times New Roman" w:hAnsi="Times New Roman" w:cs="Times New Roman"/>
          <w:sz w:val="24"/>
          <w:szCs w:val="24"/>
        </w:rPr>
        <w:t xml:space="preserve">009-0 are all superseded by the </w:t>
      </w:r>
      <w:r w:rsidRPr="009C562B">
        <w:rPr>
          <w:rFonts w:ascii="Times New Roman" w:hAnsi="Times New Roman" w:cs="Times New Roman"/>
          <w:sz w:val="24"/>
          <w:szCs w:val="24"/>
        </w:rPr>
        <w:t>available transfer capability calculations required by the proposed MOD Reliability</w:t>
      </w:r>
      <w:r>
        <w:rPr>
          <w:rFonts w:ascii="Times New Roman" w:hAnsi="Times New Roman" w:cs="Times New Roman"/>
          <w:sz w:val="24"/>
          <w:szCs w:val="24"/>
        </w:rPr>
        <w:t xml:space="preserve"> </w:t>
      </w:r>
      <w:r w:rsidRPr="009C562B">
        <w:rPr>
          <w:rFonts w:ascii="Times New Roman" w:hAnsi="Times New Roman" w:cs="Times New Roman"/>
          <w:sz w:val="24"/>
          <w:szCs w:val="24"/>
        </w:rPr>
        <w:t>Standards in this proceeding are, upon the effectiveness of the proposed MOD Reliability</w:t>
      </w:r>
      <w:r>
        <w:rPr>
          <w:rFonts w:ascii="Times New Roman" w:hAnsi="Times New Roman" w:cs="Times New Roman"/>
          <w:sz w:val="24"/>
          <w:szCs w:val="24"/>
        </w:rPr>
        <w:t xml:space="preserve"> </w:t>
      </w:r>
      <w:r w:rsidRPr="009C562B">
        <w:rPr>
          <w:rFonts w:ascii="Times New Roman" w:hAnsi="Times New Roman" w:cs="Times New Roman"/>
          <w:sz w:val="24"/>
          <w:szCs w:val="24"/>
        </w:rPr>
        <w:t>Standards, no longer necessary.</w:t>
      </w:r>
    </w:p>
    <w:p w:rsidR="00ED6D45" w:rsidRDefault="00ED6D45" w:rsidP="009C562B">
      <w:pPr>
        <w:rPr>
          <w:rFonts w:ascii="Times New Roman" w:hAnsi="Times New Roman" w:cs="Times New Roman"/>
          <w:sz w:val="24"/>
          <w:szCs w:val="24"/>
        </w:rPr>
      </w:pPr>
    </w:p>
    <w:p w:rsidR="00ED6D45" w:rsidRPr="00ED6D45" w:rsidRDefault="00ED6D45" w:rsidP="009C562B">
      <w:pPr>
        <w:rPr>
          <w:rFonts w:ascii="Times New Roman" w:hAnsi="Times New Roman" w:cs="Times New Roman"/>
          <w:b/>
          <w:sz w:val="24"/>
          <w:szCs w:val="24"/>
        </w:rPr>
      </w:pPr>
      <w:r w:rsidRPr="00ED6D45">
        <w:rPr>
          <w:rFonts w:ascii="Times New Roman" w:hAnsi="Times New Roman" w:cs="Times New Roman"/>
          <w:b/>
          <w:sz w:val="24"/>
          <w:szCs w:val="24"/>
        </w:rPr>
        <w:t>Order 729-A</w:t>
      </w:r>
    </w:p>
    <w:p w:rsidR="00ED6D45" w:rsidRDefault="00ED6D45" w:rsidP="009C562B">
      <w:pPr>
        <w:rPr>
          <w:rFonts w:ascii="Times New Roman" w:hAnsi="Times New Roman" w:cs="Times New Roman"/>
          <w:b/>
          <w:sz w:val="24"/>
          <w:szCs w:val="24"/>
        </w:rPr>
      </w:pPr>
      <w:r w:rsidRPr="00ED6D45">
        <w:rPr>
          <w:rFonts w:ascii="Times New Roman" w:hAnsi="Times New Roman" w:cs="Times New Roman"/>
          <w:b/>
          <w:sz w:val="24"/>
          <w:szCs w:val="24"/>
        </w:rPr>
        <w:t>(May 5, 2010)</w:t>
      </w:r>
    </w:p>
    <w:p w:rsidR="00ED6D45" w:rsidRDefault="00ED6D45" w:rsidP="009C562B">
      <w:pPr>
        <w:rPr>
          <w:rFonts w:ascii="Times New Roman" w:hAnsi="Times New Roman" w:cs="Times New Roman"/>
          <w:b/>
          <w:sz w:val="24"/>
          <w:szCs w:val="24"/>
        </w:rPr>
      </w:pPr>
    </w:p>
    <w:p w:rsidR="00ED6D45" w:rsidRDefault="00ED6D45" w:rsidP="009C562B">
      <w:pPr>
        <w:rPr>
          <w:rFonts w:ascii="Times New Roman" w:hAnsi="Times New Roman" w:cs="Times New Roman"/>
          <w:sz w:val="24"/>
          <w:szCs w:val="24"/>
        </w:rPr>
      </w:pPr>
      <w:r>
        <w:rPr>
          <w:rFonts w:ascii="Times New Roman" w:hAnsi="Times New Roman" w:cs="Times New Roman"/>
          <w:sz w:val="24"/>
          <w:szCs w:val="24"/>
        </w:rPr>
        <w:t>13…</w:t>
      </w:r>
      <w:r w:rsidRPr="00ED6D45">
        <w:rPr>
          <w:rFonts w:ascii="Times New Roman" w:hAnsi="Times New Roman" w:cs="Times New Roman"/>
          <w:sz w:val="24"/>
          <w:szCs w:val="24"/>
        </w:rPr>
        <w:t>Because capacity benefit margin and transfer reliability margin are integral components of any available transfer or flowgate capability calculation, we believe that, for an entity to validate the results of an available transfer or flowgate capability calculation, the calculations of capacity benefit margin and transfer reliability margin must also be detailed in the implementation document with such detail that they can be validated. Thus, the Commission clarifies that the calculations of capacity benefit margin and transfer reliability margin, performed under MOD-004-1 and MOD-008-1 respectively, are properly audited under Requirement R3.1 of MOD-001-1.</w:t>
      </w:r>
    </w:p>
    <w:p w:rsidR="00ED6D45" w:rsidRDefault="00ED6D45" w:rsidP="00ED6D45">
      <w:pPr>
        <w:pStyle w:val="Default"/>
      </w:pPr>
    </w:p>
    <w:p w:rsidR="00ED6D45" w:rsidRPr="00ED6D45" w:rsidRDefault="00ED6D45" w:rsidP="00ED6D45">
      <w:pPr>
        <w:pStyle w:val="Default"/>
      </w:pPr>
      <w:r w:rsidRPr="00ED6D45">
        <w:t>26. In Order Nos. 890 and 693, the Commission emphasized that each load-serving entity has the right to request that capacity benefit margin be set aside, and to use transmission capacity set aside for that purpose, to meet its verifiable generation reliability criteria requirement.</w:t>
      </w:r>
      <w:r w:rsidRPr="00ED6D45">
        <w:rPr>
          <w:b/>
          <w:bCs/>
        </w:rPr>
        <w:t xml:space="preserve">21 </w:t>
      </w:r>
      <w:r w:rsidRPr="00ED6D45">
        <w:t xml:space="preserve">The Commission is concerned that Reliability Standard MOD-004-1 could allow a transmission service provider to calculate, allocate, and use capacity benefit margin in a way that impairs the reliable operation of the Bulk-Power System. Under the Reliability Standard, the transmission service provider is to “reflect consideration” of studies provided by load-serving entities and resource planners demonstrating a need for capacity benefit margin and “manage” situations where the requested use of capacity benefit margin exceeds the capacity benefit margin available. Reliability Standard MOD-004-1 places no bounds on this “consideration” and “management” and, for example, would permit a transmission service provider to make decisions regarding the use of capacity benefit margin based solely on economic considerations notwithstanding a demonstration of need for capacity benefit margin by a load-serving entity or resource planner. </w:t>
      </w:r>
    </w:p>
    <w:p w:rsidR="00ED6D45" w:rsidRPr="00ED6D45" w:rsidRDefault="00ED6D45" w:rsidP="00ED6D45">
      <w:pPr>
        <w:pStyle w:val="Default"/>
      </w:pPr>
    </w:p>
    <w:p w:rsidR="00ED6D45" w:rsidRPr="00ED6D45" w:rsidRDefault="00ED6D45" w:rsidP="00ED6D45">
      <w:pPr>
        <w:pStyle w:val="Default"/>
      </w:pPr>
      <w:r w:rsidRPr="00ED6D45">
        <w:t xml:space="preserve">27. These concerns would be diminished if the transmission service provider’s capacity benefit margin implementation document were sufficiently transparent to allow others to validate the method of managing capacity benefit margin. Accordingly, the Commission upholds its decision to direct the ERO to develop a modification that would clarify the term “manage” in Requirement R1.3. The Commission clarifies, however, that the ERO, through its Reliability Standards development process, should determine the manner in which this clarification is made. </w:t>
      </w:r>
    </w:p>
    <w:p w:rsidR="00ED6D45" w:rsidRPr="00ED6D45" w:rsidRDefault="00ED6D45" w:rsidP="00ED6D45">
      <w:pPr>
        <w:pStyle w:val="Default"/>
      </w:pPr>
    </w:p>
    <w:p w:rsidR="00ED6D45" w:rsidRDefault="00ED6D45" w:rsidP="00ED6D45">
      <w:pPr>
        <w:pStyle w:val="Default"/>
        <w:rPr>
          <w:sz w:val="26"/>
          <w:szCs w:val="26"/>
        </w:rPr>
      </w:pPr>
    </w:p>
    <w:p w:rsidR="00052C89" w:rsidRDefault="00052C89" w:rsidP="00ED6D45">
      <w:pPr>
        <w:pStyle w:val="Default"/>
        <w:rPr>
          <w:sz w:val="26"/>
          <w:szCs w:val="26"/>
        </w:rPr>
      </w:pPr>
    </w:p>
    <w:p w:rsidR="00052C89" w:rsidRDefault="00052C89" w:rsidP="00ED6D45">
      <w:pPr>
        <w:pStyle w:val="Default"/>
        <w:rPr>
          <w:sz w:val="26"/>
          <w:szCs w:val="26"/>
        </w:rPr>
      </w:pPr>
    </w:p>
    <w:p w:rsidR="00052C89" w:rsidRDefault="00052C89" w:rsidP="00ED6D45">
      <w:pPr>
        <w:pStyle w:val="Default"/>
        <w:rPr>
          <w:sz w:val="26"/>
          <w:szCs w:val="26"/>
        </w:rPr>
      </w:pPr>
    </w:p>
    <w:p w:rsidR="00052C89" w:rsidRDefault="00052C89" w:rsidP="00ED6D45">
      <w:pPr>
        <w:pStyle w:val="Default"/>
        <w:rPr>
          <w:sz w:val="26"/>
          <w:szCs w:val="26"/>
        </w:rPr>
      </w:pPr>
    </w:p>
    <w:p w:rsidR="00052C89" w:rsidRDefault="00052C89" w:rsidP="00052C89">
      <w:pPr>
        <w:pStyle w:val="Header"/>
        <w:jc w:val="right"/>
        <w:rPr>
          <w:rFonts w:ascii="Times New Roman" w:hAnsi="Times New Roman" w:cs="Times New Roman"/>
          <w:sz w:val="24"/>
          <w:szCs w:val="24"/>
        </w:rPr>
      </w:pPr>
    </w:p>
    <w:p w:rsidR="00052C89" w:rsidRPr="008C3D4D" w:rsidRDefault="00052C89" w:rsidP="00052C89">
      <w:pPr>
        <w:rPr>
          <w:rFonts w:ascii="Times New Roman" w:hAnsi="Times New Roman" w:cs="Times New Roman"/>
          <w:b/>
          <w:sz w:val="28"/>
          <w:szCs w:val="28"/>
        </w:rPr>
      </w:pPr>
      <w:r w:rsidRPr="008C3D4D">
        <w:rPr>
          <w:rFonts w:ascii="Times New Roman" w:hAnsi="Times New Roman" w:cs="Times New Roman"/>
          <w:b/>
          <w:sz w:val="28"/>
          <w:szCs w:val="28"/>
        </w:rPr>
        <w:t>Revision History</w:t>
      </w:r>
    </w:p>
    <w:p w:rsidR="00052C89" w:rsidRDefault="00052C89" w:rsidP="00052C89">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342"/>
        <w:gridCol w:w="2520"/>
        <w:gridCol w:w="6138"/>
      </w:tblGrid>
      <w:tr w:rsidR="00052C89" w:rsidRPr="00B2607F" w:rsidTr="00052C89">
        <w:tc>
          <w:tcPr>
            <w:tcW w:w="1016" w:type="dxa"/>
            <w:shd w:val="pct10" w:color="auto" w:fill="auto"/>
          </w:tcPr>
          <w:p w:rsidR="00052C89" w:rsidRPr="00B2607F" w:rsidRDefault="00052C89" w:rsidP="00052C89">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342" w:type="dxa"/>
            <w:shd w:val="pct10" w:color="auto" w:fill="auto"/>
          </w:tcPr>
          <w:p w:rsidR="00052C89" w:rsidRPr="00B2607F" w:rsidRDefault="00052C89" w:rsidP="00052C89">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520" w:type="dxa"/>
            <w:shd w:val="pct10" w:color="auto" w:fill="auto"/>
          </w:tcPr>
          <w:p w:rsidR="00052C89" w:rsidRPr="00B2607F" w:rsidRDefault="00052C89" w:rsidP="00052C89">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138" w:type="dxa"/>
            <w:shd w:val="pct10" w:color="auto" w:fill="auto"/>
          </w:tcPr>
          <w:p w:rsidR="00052C89" w:rsidRPr="00B2607F" w:rsidRDefault="00052C89" w:rsidP="00052C89">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052C89" w:rsidRPr="00B2607F" w:rsidTr="00052C89">
        <w:tc>
          <w:tcPr>
            <w:tcW w:w="1016" w:type="dxa"/>
          </w:tcPr>
          <w:p w:rsidR="00052C89" w:rsidRPr="00B2607F" w:rsidRDefault="00052C89" w:rsidP="00052C89">
            <w:pPr>
              <w:jc w:val="center"/>
              <w:rPr>
                <w:rFonts w:ascii="Times New Roman" w:hAnsi="Times New Roman" w:cs="Times New Roman"/>
                <w:sz w:val="24"/>
                <w:szCs w:val="24"/>
              </w:rPr>
            </w:pPr>
            <w:r>
              <w:rPr>
                <w:rFonts w:ascii="Times New Roman" w:hAnsi="Times New Roman" w:cs="Times New Roman"/>
                <w:sz w:val="24"/>
                <w:szCs w:val="24"/>
              </w:rPr>
              <w:t>1</w:t>
            </w:r>
          </w:p>
        </w:tc>
        <w:tc>
          <w:tcPr>
            <w:tcW w:w="1342" w:type="dxa"/>
          </w:tcPr>
          <w:p w:rsidR="00052C89" w:rsidRPr="00B2607F" w:rsidRDefault="00052C89" w:rsidP="00052C89">
            <w:pPr>
              <w:rPr>
                <w:rFonts w:ascii="Times New Roman" w:hAnsi="Times New Roman" w:cs="Times New Roman"/>
                <w:sz w:val="24"/>
                <w:szCs w:val="24"/>
              </w:rPr>
            </w:pPr>
            <w:r>
              <w:rPr>
                <w:rFonts w:ascii="Times New Roman" w:hAnsi="Times New Roman" w:cs="Times New Roman"/>
                <w:sz w:val="24"/>
                <w:szCs w:val="24"/>
              </w:rPr>
              <w:t>July 2010</w:t>
            </w:r>
          </w:p>
        </w:tc>
        <w:tc>
          <w:tcPr>
            <w:tcW w:w="2520" w:type="dxa"/>
          </w:tcPr>
          <w:p w:rsidR="00052C89" w:rsidRPr="00B2607F" w:rsidRDefault="00052C89" w:rsidP="00052C89">
            <w:pPr>
              <w:rPr>
                <w:rFonts w:ascii="Times New Roman" w:hAnsi="Times New Roman" w:cs="Times New Roman"/>
                <w:sz w:val="24"/>
                <w:szCs w:val="24"/>
              </w:rPr>
            </w:pPr>
            <w:r>
              <w:rPr>
                <w:rFonts w:ascii="Times New Roman" w:hAnsi="Times New Roman" w:cs="Times New Roman"/>
                <w:sz w:val="24"/>
                <w:szCs w:val="24"/>
              </w:rPr>
              <w:t xml:space="preserve">RSAW Working Group </w:t>
            </w:r>
          </w:p>
        </w:tc>
        <w:tc>
          <w:tcPr>
            <w:tcW w:w="6138" w:type="dxa"/>
          </w:tcPr>
          <w:p w:rsidR="00052C89" w:rsidRPr="00B2607F" w:rsidRDefault="00052C89" w:rsidP="00052C89">
            <w:pPr>
              <w:rPr>
                <w:rFonts w:ascii="Times New Roman" w:hAnsi="Times New Roman" w:cs="Times New Roman"/>
                <w:sz w:val="24"/>
                <w:szCs w:val="24"/>
              </w:rPr>
            </w:pPr>
            <w:r>
              <w:rPr>
                <w:rFonts w:ascii="Times New Roman" w:hAnsi="Times New Roman" w:cs="Times New Roman"/>
                <w:sz w:val="24"/>
                <w:szCs w:val="24"/>
              </w:rPr>
              <w:t>New Document</w:t>
            </w:r>
          </w:p>
        </w:tc>
      </w:tr>
      <w:tr w:rsidR="00052C89" w:rsidRPr="00B2607F" w:rsidTr="00052C89">
        <w:tc>
          <w:tcPr>
            <w:tcW w:w="1016" w:type="dxa"/>
          </w:tcPr>
          <w:p w:rsidR="00052C89" w:rsidRPr="00B2607F" w:rsidRDefault="00052C89" w:rsidP="00052C89">
            <w:pPr>
              <w:jc w:val="center"/>
              <w:rPr>
                <w:rFonts w:ascii="Times New Roman" w:hAnsi="Times New Roman" w:cs="Times New Roman"/>
                <w:sz w:val="24"/>
                <w:szCs w:val="24"/>
              </w:rPr>
            </w:pPr>
            <w:r>
              <w:rPr>
                <w:rFonts w:ascii="Times New Roman" w:hAnsi="Times New Roman" w:cs="Times New Roman"/>
                <w:sz w:val="24"/>
                <w:szCs w:val="24"/>
              </w:rPr>
              <w:t>1</w:t>
            </w:r>
          </w:p>
        </w:tc>
        <w:tc>
          <w:tcPr>
            <w:tcW w:w="1342" w:type="dxa"/>
          </w:tcPr>
          <w:p w:rsidR="00052C89" w:rsidRPr="00B2607F" w:rsidRDefault="00052C89" w:rsidP="00052C89">
            <w:pPr>
              <w:rPr>
                <w:rFonts w:ascii="Times New Roman" w:hAnsi="Times New Roman" w:cs="Times New Roman"/>
                <w:sz w:val="24"/>
                <w:szCs w:val="24"/>
              </w:rPr>
            </w:pPr>
            <w:r>
              <w:rPr>
                <w:rFonts w:ascii="Times New Roman" w:hAnsi="Times New Roman" w:cs="Times New Roman"/>
                <w:sz w:val="24"/>
                <w:szCs w:val="24"/>
              </w:rPr>
              <w:t>September 2010</w:t>
            </w:r>
          </w:p>
        </w:tc>
        <w:tc>
          <w:tcPr>
            <w:tcW w:w="2520" w:type="dxa"/>
          </w:tcPr>
          <w:p w:rsidR="00052C89" w:rsidRPr="00B2607F" w:rsidRDefault="00052C89" w:rsidP="00052C89">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6138" w:type="dxa"/>
          </w:tcPr>
          <w:p w:rsidR="00052C89" w:rsidRPr="00B2607F" w:rsidRDefault="00052C89" w:rsidP="00052C89">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052C89" w:rsidRPr="00B2607F" w:rsidTr="00052C89">
        <w:tc>
          <w:tcPr>
            <w:tcW w:w="1016" w:type="dxa"/>
          </w:tcPr>
          <w:p w:rsidR="00052C89" w:rsidRPr="00B2607F" w:rsidRDefault="008C3D4D" w:rsidP="00052C89">
            <w:pPr>
              <w:jc w:val="center"/>
              <w:rPr>
                <w:rFonts w:ascii="Times New Roman" w:hAnsi="Times New Roman" w:cs="Times New Roman"/>
                <w:sz w:val="24"/>
                <w:szCs w:val="24"/>
              </w:rPr>
            </w:pPr>
            <w:r>
              <w:rPr>
                <w:rFonts w:ascii="Times New Roman" w:hAnsi="Times New Roman" w:cs="Times New Roman"/>
                <w:sz w:val="24"/>
                <w:szCs w:val="24"/>
              </w:rPr>
              <w:t>1.1</w:t>
            </w:r>
          </w:p>
        </w:tc>
        <w:tc>
          <w:tcPr>
            <w:tcW w:w="1342" w:type="dxa"/>
          </w:tcPr>
          <w:p w:rsidR="00052C89" w:rsidRPr="00B2607F" w:rsidRDefault="008C3D4D" w:rsidP="00052C89">
            <w:pPr>
              <w:rPr>
                <w:rFonts w:ascii="Times New Roman" w:hAnsi="Times New Roman" w:cs="Times New Roman"/>
                <w:sz w:val="24"/>
                <w:szCs w:val="24"/>
              </w:rPr>
            </w:pPr>
            <w:r>
              <w:rPr>
                <w:rFonts w:ascii="Times New Roman" w:hAnsi="Times New Roman" w:cs="Times New Roman"/>
                <w:sz w:val="24"/>
                <w:szCs w:val="24"/>
              </w:rPr>
              <w:t>September 2011</w:t>
            </w:r>
          </w:p>
        </w:tc>
        <w:tc>
          <w:tcPr>
            <w:tcW w:w="2520" w:type="dxa"/>
          </w:tcPr>
          <w:p w:rsidR="00052C89" w:rsidRPr="00B2607F" w:rsidRDefault="008C3D4D" w:rsidP="00052C89">
            <w:pPr>
              <w:rPr>
                <w:rFonts w:ascii="Times New Roman" w:hAnsi="Times New Roman" w:cs="Times New Roman"/>
                <w:sz w:val="24"/>
                <w:szCs w:val="24"/>
              </w:rPr>
            </w:pPr>
            <w:r>
              <w:rPr>
                <w:rFonts w:ascii="Times New Roman" w:hAnsi="Times New Roman" w:cs="Times New Roman"/>
                <w:sz w:val="24"/>
                <w:szCs w:val="24"/>
              </w:rPr>
              <w:t>Craig Struck</w:t>
            </w:r>
          </w:p>
        </w:tc>
        <w:tc>
          <w:tcPr>
            <w:tcW w:w="6138" w:type="dxa"/>
          </w:tcPr>
          <w:p w:rsidR="00052C89" w:rsidRPr="00B2607F" w:rsidRDefault="008C3D4D" w:rsidP="00052C89">
            <w:pPr>
              <w:rPr>
                <w:rFonts w:ascii="Times New Roman" w:hAnsi="Times New Roman" w:cs="Times New Roman"/>
                <w:sz w:val="24"/>
                <w:szCs w:val="24"/>
              </w:rPr>
            </w:pPr>
            <w:r>
              <w:rPr>
                <w:rFonts w:ascii="Times New Roman" w:hAnsi="Times New Roman" w:cs="Times New Roman"/>
                <w:sz w:val="24"/>
                <w:szCs w:val="24"/>
              </w:rPr>
              <w:t>Format updates for 2012.</w:t>
            </w:r>
          </w:p>
        </w:tc>
      </w:tr>
      <w:tr w:rsidR="00052C89" w:rsidRPr="00B2607F" w:rsidTr="00052C89">
        <w:tc>
          <w:tcPr>
            <w:tcW w:w="1016" w:type="dxa"/>
          </w:tcPr>
          <w:p w:rsidR="00052C89" w:rsidRPr="00B2607F" w:rsidRDefault="00052C89" w:rsidP="00052C89">
            <w:pPr>
              <w:jc w:val="center"/>
              <w:rPr>
                <w:rFonts w:ascii="Times New Roman" w:hAnsi="Times New Roman" w:cs="Times New Roman"/>
                <w:sz w:val="24"/>
                <w:szCs w:val="24"/>
              </w:rPr>
            </w:pPr>
          </w:p>
        </w:tc>
        <w:tc>
          <w:tcPr>
            <w:tcW w:w="1342" w:type="dxa"/>
          </w:tcPr>
          <w:p w:rsidR="00052C89" w:rsidRPr="00B2607F" w:rsidRDefault="00052C89" w:rsidP="00052C89">
            <w:pPr>
              <w:rPr>
                <w:rFonts w:ascii="Times New Roman" w:hAnsi="Times New Roman" w:cs="Times New Roman"/>
                <w:sz w:val="24"/>
                <w:szCs w:val="24"/>
              </w:rPr>
            </w:pPr>
          </w:p>
        </w:tc>
        <w:tc>
          <w:tcPr>
            <w:tcW w:w="2520" w:type="dxa"/>
          </w:tcPr>
          <w:p w:rsidR="00052C89" w:rsidRPr="00B2607F" w:rsidRDefault="00052C89" w:rsidP="00052C89">
            <w:pPr>
              <w:rPr>
                <w:rFonts w:ascii="Times New Roman" w:hAnsi="Times New Roman" w:cs="Times New Roman"/>
                <w:sz w:val="24"/>
                <w:szCs w:val="24"/>
              </w:rPr>
            </w:pPr>
          </w:p>
        </w:tc>
        <w:tc>
          <w:tcPr>
            <w:tcW w:w="6138" w:type="dxa"/>
          </w:tcPr>
          <w:p w:rsidR="00052C89" w:rsidRPr="00B2607F" w:rsidRDefault="00052C89" w:rsidP="00052C89">
            <w:pPr>
              <w:rPr>
                <w:rFonts w:ascii="Times New Roman" w:hAnsi="Times New Roman" w:cs="Times New Roman"/>
                <w:sz w:val="24"/>
                <w:szCs w:val="24"/>
              </w:rPr>
            </w:pPr>
          </w:p>
        </w:tc>
      </w:tr>
      <w:tr w:rsidR="00052C89" w:rsidRPr="00B2607F" w:rsidTr="00052C89">
        <w:tc>
          <w:tcPr>
            <w:tcW w:w="1016" w:type="dxa"/>
          </w:tcPr>
          <w:p w:rsidR="00052C89" w:rsidRPr="00B2607F" w:rsidRDefault="00052C89" w:rsidP="00052C89">
            <w:pPr>
              <w:jc w:val="center"/>
              <w:rPr>
                <w:rFonts w:ascii="Times New Roman" w:hAnsi="Times New Roman" w:cs="Times New Roman"/>
                <w:sz w:val="24"/>
                <w:szCs w:val="24"/>
              </w:rPr>
            </w:pPr>
          </w:p>
        </w:tc>
        <w:tc>
          <w:tcPr>
            <w:tcW w:w="1342" w:type="dxa"/>
          </w:tcPr>
          <w:p w:rsidR="00052C89" w:rsidRPr="00B2607F" w:rsidRDefault="00052C89" w:rsidP="00052C89">
            <w:pPr>
              <w:rPr>
                <w:rFonts w:ascii="Times New Roman" w:hAnsi="Times New Roman" w:cs="Times New Roman"/>
                <w:sz w:val="24"/>
                <w:szCs w:val="24"/>
              </w:rPr>
            </w:pPr>
          </w:p>
        </w:tc>
        <w:tc>
          <w:tcPr>
            <w:tcW w:w="2520" w:type="dxa"/>
          </w:tcPr>
          <w:p w:rsidR="00052C89" w:rsidRPr="00B2607F" w:rsidRDefault="00052C89" w:rsidP="00052C89">
            <w:pPr>
              <w:rPr>
                <w:rFonts w:ascii="Times New Roman" w:hAnsi="Times New Roman" w:cs="Times New Roman"/>
                <w:sz w:val="24"/>
                <w:szCs w:val="24"/>
              </w:rPr>
            </w:pPr>
          </w:p>
        </w:tc>
        <w:tc>
          <w:tcPr>
            <w:tcW w:w="6138" w:type="dxa"/>
          </w:tcPr>
          <w:p w:rsidR="00052C89" w:rsidRPr="00B2607F" w:rsidRDefault="00052C89" w:rsidP="00052C89">
            <w:pPr>
              <w:rPr>
                <w:rFonts w:ascii="Times New Roman" w:hAnsi="Times New Roman" w:cs="Times New Roman"/>
                <w:sz w:val="24"/>
                <w:szCs w:val="24"/>
              </w:rPr>
            </w:pPr>
          </w:p>
        </w:tc>
      </w:tr>
      <w:tr w:rsidR="00052C89" w:rsidRPr="00B2607F" w:rsidTr="00052C89">
        <w:tc>
          <w:tcPr>
            <w:tcW w:w="1016" w:type="dxa"/>
          </w:tcPr>
          <w:p w:rsidR="00052C89" w:rsidRPr="00B2607F" w:rsidRDefault="00052C89" w:rsidP="00052C89">
            <w:pPr>
              <w:jc w:val="center"/>
              <w:rPr>
                <w:rFonts w:ascii="Times New Roman" w:hAnsi="Times New Roman" w:cs="Times New Roman"/>
                <w:sz w:val="24"/>
                <w:szCs w:val="24"/>
              </w:rPr>
            </w:pPr>
          </w:p>
        </w:tc>
        <w:tc>
          <w:tcPr>
            <w:tcW w:w="1342" w:type="dxa"/>
          </w:tcPr>
          <w:p w:rsidR="00052C89" w:rsidRPr="00B2607F" w:rsidRDefault="00052C89" w:rsidP="00052C89">
            <w:pPr>
              <w:rPr>
                <w:rFonts w:ascii="Times New Roman" w:hAnsi="Times New Roman" w:cs="Times New Roman"/>
                <w:sz w:val="24"/>
                <w:szCs w:val="24"/>
              </w:rPr>
            </w:pPr>
          </w:p>
        </w:tc>
        <w:tc>
          <w:tcPr>
            <w:tcW w:w="2520" w:type="dxa"/>
          </w:tcPr>
          <w:p w:rsidR="00052C89" w:rsidRPr="00B2607F" w:rsidRDefault="00052C89" w:rsidP="00052C89">
            <w:pPr>
              <w:rPr>
                <w:rFonts w:ascii="Times New Roman" w:hAnsi="Times New Roman" w:cs="Times New Roman"/>
                <w:sz w:val="24"/>
                <w:szCs w:val="24"/>
              </w:rPr>
            </w:pPr>
          </w:p>
        </w:tc>
        <w:tc>
          <w:tcPr>
            <w:tcW w:w="6138" w:type="dxa"/>
          </w:tcPr>
          <w:p w:rsidR="00052C89" w:rsidRPr="00B2607F" w:rsidRDefault="00052C89" w:rsidP="00052C89">
            <w:pPr>
              <w:rPr>
                <w:rFonts w:ascii="Times New Roman" w:hAnsi="Times New Roman" w:cs="Times New Roman"/>
                <w:sz w:val="24"/>
                <w:szCs w:val="24"/>
              </w:rPr>
            </w:pPr>
          </w:p>
        </w:tc>
      </w:tr>
    </w:tbl>
    <w:p w:rsidR="00ED6D45" w:rsidRPr="00ED6D45" w:rsidRDefault="00ED6D45" w:rsidP="009C562B">
      <w:pPr>
        <w:rPr>
          <w:rFonts w:ascii="Times New Roman" w:hAnsi="Times New Roman" w:cs="Times New Roman"/>
          <w:sz w:val="24"/>
          <w:szCs w:val="24"/>
        </w:rPr>
      </w:pPr>
    </w:p>
    <w:sectPr w:rsidR="00ED6D45" w:rsidRPr="00ED6D45">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5A" w:rsidRDefault="002A025A">
      <w:r>
        <w:separator/>
      </w:r>
    </w:p>
    <w:p w:rsidR="002A025A" w:rsidRDefault="002A025A"/>
  </w:endnote>
  <w:endnote w:type="continuationSeparator" w:id="0">
    <w:p w:rsidR="002A025A" w:rsidRDefault="002A025A">
      <w:r>
        <w:continuationSeparator/>
      </w:r>
    </w:p>
    <w:p w:rsidR="002A025A" w:rsidRDefault="002A0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9A" w:rsidRDefault="00C65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89" w:rsidRPr="00945D21" w:rsidRDefault="00052C89"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Questionnaire and Reliability Standard Audit Worksheet </w:t>
    </w:r>
  </w:p>
  <w:p w:rsidR="00052C89" w:rsidRPr="00945D21" w:rsidRDefault="00052C89"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rsidR="00052C89" w:rsidRPr="00945D21" w:rsidRDefault="00052C89"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rsidR="00052C89" w:rsidRPr="00945D21" w:rsidRDefault="00052C89"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rsidR="00052C89" w:rsidRDefault="00052C89"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rsidR="00052C89" w:rsidRDefault="00052C89"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RSAW_MOD-004-1_2010_v1</w:t>
    </w:r>
    <w:r w:rsidR="008C3D4D">
      <w:rPr>
        <w:rFonts w:ascii="Times New Roman" w:hAnsi="Times New Roman"/>
        <w:sz w:val="18"/>
        <w:szCs w:val="18"/>
      </w:rPr>
      <w:t>.1</w:t>
    </w:r>
  </w:p>
  <w:p w:rsidR="00052C89" w:rsidRPr="00945D21" w:rsidRDefault="00052C89"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 September 201</w:t>
    </w:r>
    <w:r w:rsidR="008C3D4D">
      <w:rPr>
        <w:rFonts w:ascii="Times New Roman" w:hAnsi="Times New Roman" w:cs="Times New Roman"/>
        <w:color w:val="000000"/>
        <w:sz w:val="18"/>
        <w:szCs w:val="18"/>
      </w:rPr>
      <w:t>1</w:t>
    </w:r>
  </w:p>
  <w:p w:rsidR="00052C89" w:rsidRPr="00945D21" w:rsidRDefault="00052C89"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D94783">
      <w:rPr>
        <w:rStyle w:val="PageNumber"/>
        <w:rFonts w:ascii="Times New Roman" w:hAnsi="Times New Roman" w:cs="Times New Roman"/>
        <w:noProof/>
        <w:sz w:val="18"/>
        <w:szCs w:val="18"/>
      </w:rPr>
      <w:t>1</w:t>
    </w:r>
    <w:r w:rsidRPr="00945D21">
      <w:rPr>
        <w:rStyle w:val="PageNumber"/>
        <w:rFonts w:ascii="Times New Roman" w:hAnsi="Times New Roman" w:cs="Times New Roman"/>
        <w:sz w:val="18"/>
        <w:szCs w:val="18"/>
      </w:rPr>
      <w:fldChar w:fldCharType="end"/>
    </w:r>
  </w:p>
  <w:p w:rsidR="00052C89" w:rsidRDefault="00052C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9A" w:rsidRDefault="00C65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5A" w:rsidRDefault="002A025A">
      <w:r>
        <w:separator/>
      </w:r>
    </w:p>
    <w:p w:rsidR="002A025A" w:rsidRDefault="002A025A"/>
  </w:footnote>
  <w:footnote w:type="continuationSeparator" w:id="0">
    <w:p w:rsidR="002A025A" w:rsidRDefault="002A025A">
      <w:r>
        <w:continuationSeparator/>
      </w:r>
    </w:p>
    <w:p w:rsidR="002A025A" w:rsidRDefault="002A025A"/>
  </w:footnote>
  <w:footnote w:id="1">
    <w:p w:rsidR="00052C89" w:rsidRDefault="00052C89">
      <w:pPr>
        <w:pStyle w:val="FootnoteText"/>
      </w:pPr>
      <w:r>
        <w:rPr>
          <w:rStyle w:val="FootnoteReference"/>
        </w:rPr>
        <w:footnoteRef/>
      </w:r>
      <w:r>
        <w:t xml:space="preserve">  See Attachment 1-EOP-002-0 for explanation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9A" w:rsidRDefault="00C65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89" w:rsidRDefault="00052C89">
    <w:pPr>
      <w:widowControl w:val="0"/>
      <w:spacing w:line="240" w:lineRule="exact"/>
      <w:rPr>
        <w:rFonts w:cs="Times New Roman"/>
      </w:rPr>
    </w:pPr>
  </w:p>
  <w:p w:rsidR="00052C89" w:rsidRPr="006813F3" w:rsidRDefault="00052C89" w:rsidP="00052C89">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052C89" w:rsidRPr="00931D2B" w:rsidRDefault="00C65A9A" w:rsidP="00052C89">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052C89" w:rsidRDefault="006555ED">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052C89" w:rsidRDefault="00052C89">
    <w:pPr>
      <w:widowControl w:val="0"/>
      <w:spacing w:line="248" w:lineRule="exact"/>
      <w:rPr>
        <w:rFonts w:cs="Times New Roman"/>
      </w:rPr>
    </w:pPr>
  </w:p>
  <w:p w:rsidR="00052C89" w:rsidRDefault="00052C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9A" w:rsidRDefault="00C65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FCCEB8"/>
    <w:lvl w:ilvl="0">
      <w:start w:val="1"/>
      <w:numFmt w:val="decimal"/>
      <w:pStyle w:val="ListNumber"/>
      <w:lvlText w:val="%1."/>
      <w:lvlJc w:val="left"/>
      <w:pPr>
        <w:tabs>
          <w:tab w:val="num" w:pos="360"/>
        </w:tabs>
        <w:ind w:left="360" w:hanging="360"/>
      </w:pPr>
    </w:lvl>
  </w:abstractNum>
  <w:abstractNum w:abstractNumId="1">
    <w:nsid w:val="0B696A70"/>
    <w:multiLevelType w:val="multilevel"/>
    <w:tmpl w:val="0EBE1138"/>
    <w:lvl w:ilvl="0">
      <w:start w:val="1"/>
      <w:numFmt w:val="decimal"/>
      <w:lvlText w:val="R%1."/>
      <w:lvlJc w:val="left"/>
      <w:pPr>
        <w:tabs>
          <w:tab w:val="num" w:pos="576"/>
        </w:tabs>
        <w:ind w:left="576" w:hanging="576"/>
      </w:pPr>
      <w:rPr>
        <w:rFonts w:hint="default"/>
        <w:b/>
        <w:i w:val="0"/>
        <w:sz w:val="22"/>
        <w:szCs w:val="22"/>
      </w:rPr>
    </w:lvl>
    <w:lvl w:ilvl="1">
      <w:start w:val="1"/>
      <w:numFmt w:val="bullet"/>
      <w:lvlText w:val=""/>
      <w:lvlJc w:val="left"/>
      <w:pPr>
        <w:tabs>
          <w:tab w:val="num" w:pos="936"/>
        </w:tabs>
        <w:ind w:left="936" w:hanging="360"/>
      </w:pPr>
      <w:rPr>
        <w:rFonts w:ascii="Wingdings" w:hAnsi="Wingdings" w:hint="default"/>
        <w:b/>
        <w:i w:val="0"/>
        <w:sz w:val="22"/>
        <w:szCs w:val="22"/>
      </w:rPr>
    </w:lvl>
    <w:lvl w:ilvl="2">
      <w:start w:val="1"/>
      <w:numFmt w:val="bullet"/>
      <w:lvlText w:val=""/>
      <w:lvlJc w:val="left"/>
      <w:pPr>
        <w:tabs>
          <w:tab w:val="num" w:pos="1728"/>
        </w:tabs>
        <w:ind w:left="1728" w:hanging="360"/>
      </w:pPr>
      <w:rPr>
        <w:rFonts w:ascii="Wingdings" w:hAnsi="Wingdings" w:hint="default"/>
        <w:b/>
        <w:i w:val="0"/>
        <w:sz w:val="22"/>
        <w:szCs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E2969E4"/>
    <w:multiLevelType w:val="hybridMultilevel"/>
    <w:tmpl w:val="1E2E517C"/>
    <w:lvl w:ilvl="0" w:tplc="EA8486BA">
      <w:numFmt w:val="bullet"/>
      <w:lvlText w:val="•"/>
      <w:lvlJc w:val="left"/>
      <w:pPr>
        <w:ind w:left="1440" w:hanging="360"/>
      </w:pPr>
      <w:rPr>
        <w:rFonts w:ascii="Arial" w:eastAsia="Times New Roman" w:hAnsi="Arial" w:cs="Arial" w:hint="default"/>
      </w:rPr>
    </w:lvl>
    <w:lvl w:ilvl="1" w:tplc="F3A6CCC8" w:tentative="1">
      <w:start w:val="1"/>
      <w:numFmt w:val="bullet"/>
      <w:lvlText w:val="o"/>
      <w:lvlJc w:val="left"/>
      <w:pPr>
        <w:ind w:left="2160" w:hanging="360"/>
      </w:pPr>
      <w:rPr>
        <w:rFonts w:ascii="Courier New" w:hAnsi="Courier New" w:cs="Courier New" w:hint="default"/>
      </w:rPr>
    </w:lvl>
    <w:lvl w:ilvl="2" w:tplc="AC326A5C" w:tentative="1">
      <w:start w:val="1"/>
      <w:numFmt w:val="bullet"/>
      <w:lvlText w:val=""/>
      <w:lvlJc w:val="left"/>
      <w:pPr>
        <w:ind w:left="2880" w:hanging="360"/>
      </w:pPr>
      <w:rPr>
        <w:rFonts w:ascii="Wingdings" w:hAnsi="Wingdings" w:hint="default"/>
      </w:rPr>
    </w:lvl>
    <w:lvl w:ilvl="3" w:tplc="B6A2113E" w:tentative="1">
      <w:start w:val="1"/>
      <w:numFmt w:val="bullet"/>
      <w:lvlText w:val=""/>
      <w:lvlJc w:val="left"/>
      <w:pPr>
        <w:ind w:left="3600" w:hanging="360"/>
      </w:pPr>
      <w:rPr>
        <w:rFonts w:ascii="Symbol" w:hAnsi="Symbol" w:hint="default"/>
      </w:rPr>
    </w:lvl>
    <w:lvl w:ilvl="4" w:tplc="CB365B84" w:tentative="1">
      <w:start w:val="1"/>
      <w:numFmt w:val="bullet"/>
      <w:lvlText w:val="o"/>
      <w:lvlJc w:val="left"/>
      <w:pPr>
        <w:ind w:left="4320" w:hanging="360"/>
      </w:pPr>
      <w:rPr>
        <w:rFonts w:ascii="Courier New" w:hAnsi="Courier New" w:cs="Courier New" w:hint="default"/>
      </w:rPr>
    </w:lvl>
    <w:lvl w:ilvl="5" w:tplc="59766A52" w:tentative="1">
      <w:start w:val="1"/>
      <w:numFmt w:val="bullet"/>
      <w:lvlText w:val=""/>
      <w:lvlJc w:val="left"/>
      <w:pPr>
        <w:ind w:left="5040" w:hanging="360"/>
      </w:pPr>
      <w:rPr>
        <w:rFonts w:ascii="Wingdings" w:hAnsi="Wingdings" w:hint="default"/>
      </w:rPr>
    </w:lvl>
    <w:lvl w:ilvl="6" w:tplc="2B64EDC0" w:tentative="1">
      <w:start w:val="1"/>
      <w:numFmt w:val="bullet"/>
      <w:lvlText w:val=""/>
      <w:lvlJc w:val="left"/>
      <w:pPr>
        <w:ind w:left="5760" w:hanging="360"/>
      </w:pPr>
      <w:rPr>
        <w:rFonts w:ascii="Symbol" w:hAnsi="Symbol" w:hint="default"/>
      </w:rPr>
    </w:lvl>
    <w:lvl w:ilvl="7" w:tplc="870C5542" w:tentative="1">
      <w:start w:val="1"/>
      <w:numFmt w:val="bullet"/>
      <w:lvlText w:val="o"/>
      <w:lvlJc w:val="left"/>
      <w:pPr>
        <w:ind w:left="6480" w:hanging="360"/>
      </w:pPr>
      <w:rPr>
        <w:rFonts w:ascii="Courier New" w:hAnsi="Courier New" w:cs="Courier New" w:hint="default"/>
      </w:rPr>
    </w:lvl>
    <w:lvl w:ilvl="8" w:tplc="3E2A2A66" w:tentative="1">
      <w:start w:val="1"/>
      <w:numFmt w:val="bullet"/>
      <w:lvlText w:val=""/>
      <w:lvlJc w:val="left"/>
      <w:pPr>
        <w:ind w:left="7200" w:hanging="360"/>
      </w:pPr>
      <w:rPr>
        <w:rFonts w:ascii="Wingdings" w:hAnsi="Wingdings" w:hint="default"/>
      </w:rPr>
    </w:lvl>
  </w:abstractNum>
  <w:abstractNum w:abstractNumId="3">
    <w:nsid w:val="1B3617FB"/>
    <w:multiLevelType w:val="multilevel"/>
    <w:tmpl w:val="79AC599A"/>
    <w:lvl w:ilvl="0">
      <w:start w:val="1"/>
      <w:numFmt w:val="decimal"/>
      <w:lvlText w:val="R%1."/>
      <w:lvlJc w:val="left"/>
      <w:pPr>
        <w:tabs>
          <w:tab w:val="num" w:pos="576"/>
        </w:tabs>
        <w:ind w:left="576" w:hanging="576"/>
      </w:pPr>
      <w:rPr>
        <w:rFonts w:hint="default"/>
        <w:b/>
        <w:i w:val="0"/>
        <w:sz w:val="22"/>
        <w:szCs w:val="22"/>
      </w:rPr>
    </w:lvl>
    <w:lvl w:ilvl="1">
      <w:start w:val="1"/>
      <w:numFmt w:val="decimal"/>
      <w:lvlText w:val="R%1.%2."/>
      <w:lvlJc w:val="left"/>
      <w:pPr>
        <w:tabs>
          <w:tab w:val="num" w:pos="1368"/>
        </w:tabs>
        <w:ind w:left="1368" w:hanging="792"/>
      </w:pPr>
      <w:rPr>
        <w:rFonts w:ascii="Times New Roman" w:hAnsi="Times New Roman" w:hint="default"/>
        <w:b/>
        <w:i w:val="0"/>
        <w:sz w:val="22"/>
        <w:szCs w:val="22"/>
      </w:rPr>
    </w:lvl>
    <w:lvl w:ilvl="2">
      <w:start w:val="1"/>
      <w:numFmt w:val="bullet"/>
      <w:lvlText w:val=""/>
      <w:lvlJc w:val="left"/>
      <w:pPr>
        <w:tabs>
          <w:tab w:val="num" w:pos="1728"/>
        </w:tabs>
        <w:ind w:left="1728" w:hanging="360"/>
      </w:pPr>
      <w:rPr>
        <w:rFonts w:ascii="Wingdings" w:hAnsi="Wingdings" w:hint="default"/>
        <w:b/>
        <w:i w:val="0"/>
        <w:sz w:val="22"/>
        <w:szCs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00D81"/>
    <w:multiLevelType w:val="multilevel"/>
    <w:tmpl w:val="8CFAFCD2"/>
    <w:lvl w:ilvl="0">
      <w:start w:val="1"/>
      <w:numFmt w:val="decimal"/>
      <w:lvlText w:val="R%1."/>
      <w:lvlJc w:val="left"/>
      <w:pPr>
        <w:tabs>
          <w:tab w:val="num" w:pos="576"/>
        </w:tabs>
        <w:ind w:left="576" w:hanging="576"/>
      </w:pPr>
      <w:rPr>
        <w:rFonts w:hint="default"/>
        <w:b/>
        <w:i w:val="0"/>
        <w:sz w:val="22"/>
        <w:szCs w:val="22"/>
      </w:rPr>
    </w:lvl>
    <w:lvl w:ilvl="1">
      <w:start w:val="1"/>
      <w:numFmt w:val="decimal"/>
      <w:lvlText w:val="R%1.%2."/>
      <w:lvlJc w:val="left"/>
      <w:pPr>
        <w:tabs>
          <w:tab w:val="num" w:pos="1368"/>
        </w:tabs>
        <w:ind w:left="1368" w:hanging="792"/>
      </w:pPr>
      <w:rPr>
        <w:rFonts w:ascii="Times New Roman" w:hAnsi="Times New Roman" w:hint="default"/>
        <w:b/>
        <w:i w:val="0"/>
        <w:sz w:val="22"/>
        <w:szCs w:val="22"/>
      </w:rPr>
    </w:lvl>
    <w:lvl w:ilvl="2">
      <w:start w:val="1"/>
      <w:numFmt w:val="bullet"/>
      <w:lvlText w:val=""/>
      <w:lvlJc w:val="left"/>
      <w:pPr>
        <w:tabs>
          <w:tab w:val="num" w:pos="1728"/>
        </w:tabs>
        <w:ind w:left="1728" w:hanging="360"/>
      </w:pPr>
      <w:rPr>
        <w:rFonts w:ascii="Wingdings" w:hAnsi="Wingdings" w:hint="default"/>
        <w:b/>
        <w:i w:val="0"/>
        <w:sz w:val="22"/>
        <w:szCs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603329F"/>
    <w:multiLevelType w:val="multilevel"/>
    <w:tmpl w:val="A9D838DC"/>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692"/>
        </w:tabs>
        <w:ind w:left="1692"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0">
    <w:nsid w:val="72C654CA"/>
    <w:multiLevelType w:val="hybridMultilevel"/>
    <w:tmpl w:val="05FA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6"/>
  </w:num>
  <w:num w:numId="5">
    <w:abstractNumId w:val="9"/>
  </w:num>
  <w:num w:numId="6">
    <w:abstractNumId w:val="0"/>
  </w:num>
  <w:num w:numId="7">
    <w:abstractNumId w:val="7"/>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BFE"/>
    <w:rsid w:val="00032186"/>
    <w:rsid w:val="00041C9A"/>
    <w:rsid w:val="00052C89"/>
    <w:rsid w:val="00055B1C"/>
    <w:rsid w:val="00073FD4"/>
    <w:rsid w:val="000970FA"/>
    <w:rsid w:val="000A055F"/>
    <w:rsid w:val="000A1934"/>
    <w:rsid w:val="000C264F"/>
    <w:rsid w:val="000C780A"/>
    <w:rsid w:val="000D21D3"/>
    <w:rsid w:val="000D70B8"/>
    <w:rsid w:val="000E6257"/>
    <w:rsid w:val="000F5A9B"/>
    <w:rsid w:val="0011459C"/>
    <w:rsid w:val="00116325"/>
    <w:rsid w:val="00126A1E"/>
    <w:rsid w:val="001506C6"/>
    <w:rsid w:val="0015310F"/>
    <w:rsid w:val="00165260"/>
    <w:rsid w:val="00171169"/>
    <w:rsid w:val="001B5272"/>
    <w:rsid w:val="001C0409"/>
    <w:rsid w:val="001D0C8A"/>
    <w:rsid w:val="001D5BBD"/>
    <w:rsid w:val="001E562F"/>
    <w:rsid w:val="001E65B6"/>
    <w:rsid w:val="001E693D"/>
    <w:rsid w:val="001F3140"/>
    <w:rsid w:val="001F3490"/>
    <w:rsid w:val="001F467C"/>
    <w:rsid w:val="001F76D2"/>
    <w:rsid w:val="0020112E"/>
    <w:rsid w:val="00224F96"/>
    <w:rsid w:val="00246C3A"/>
    <w:rsid w:val="0026256D"/>
    <w:rsid w:val="0028242C"/>
    <w:rsid w:val="002944E3"/>
    <w:rsid w:val="002A025A"/>
    <w:rsid w:val="002A4F3F"/>
    <w:rsid w:val="002B34E1"/>
    <w:rsid w:val="002B3BBC"/>
    <w:rsid w:val="002B6766"/>
    <w:rsid w:val="002D1C0A"/>
    <w:rsid w:val="002D48D9"/>
    <w:rsid w:val="002E66FF"/>
    <w:rsid w:val="002F248A"/>
    <w:rsid w:val="00305781"/>
    <w:rsid w:val="0031053B"/>
    <w:rsid w:val="00343273"/>
    <w:rsid w:val="003470C7"/>
    <w:rsid w:val="003512AC"/>
    <w:rsid w:val="003549BB"/>
    <w:rsid w:val="00365010"/>
    <w:rsid w:val="00383B95"/>
    <w:rsid w:val="00386419"/>
    <w:rsid w:val="00391649"/>
    <w:rsid w:val="00394F96"/>
    <w:rsid w:val="003A16EC"/>
    <w:rsid w:val="003B705F"/>
    <w:rsid w:val="003B78F8"/>
    <w:rsid w:val="003C134C"/>
    <w:rsid w:val="003D2BF9"/>
    <w:rsid w:val="00407837"/>
    <w:rsid w:val="00415891"/>
    <w:rsid w:val="00442E41"/>
    <w:rsid w:val="004476FB"/>
    <w:rsid w:val="004737D0"/>
    <w:rsid w:val="0047669C"/>
    <w:rsid w:val="00491C0E"/>
    <w:rsid w:val="004A7725"/>
    <w:rsid w:val="004A7C99"/>
    <w:rsid w:val="004C005C"/>
    <w:rsid w:val="004C2E5D"/>
    <w:rsid w:val="004C4845"/>
    <w:rsid w:val="004C5FA0"/>
    <w:rsid w:val="005178DD"/>
    <w:rsid w:val="0052337C"/>
    <w:rsid w:val="005251C3"/>
    <w:rsid w:val="0054305B"/>
    <w:rsid w:val="005436E7"/>
    <w:rsid w:val="00570E19"/>
    <w:rsid w:val="005714CC"/>
    <w:rsid w:val="005907BB"/>
    <w:rsid w:val="0059234B"/>
    <w:rsid w:val="005928F8"/>
    <w:rsid w:val="00594B4D"/>
    <w:rsid w:val="005A53C3"/>
    <w:rsid w:val="005C42F1"/>
    <w:rsid w:val="005D0CB3"/>
    <w:rsid w:val="005E29C0"/>
    <w:rsid w:val="005E50A4"/>
    <w:rsid w:val="005E6AC4"/>
    <w:rsid w:val="005F55FD"/>
    <w:rsid w:val="00617AC1"/>
    <w:rsid w:val="006269F0"/>
    <w:rsid w:val="006304FE"/>
    <w:rsid w:val="00635DEF"/>
    <w:rsid w:val="006520BE"/>
    <w:rsid w:val="006555ED"/>
    <w:rsid w:val="00655F00"/>
    <w:rsid w:val="0068311B"/>
    <w:rsid w:val="006860D2"/>
    <w:rsid w:val="006F56CC"/>
    <w:rsid w:val="00703A5B"/>
    <w:rsid w:val="00710D7B"/>
    <w:rsid w:val="00715E71"/>
    <w:rsid w:val="00723B52"/>
    <w:rsid w:val="00770E9A"/>
    <w:rsid w:val="00796AE9"/>
    <w:rsid w:val="007B5AA7"/>
    <w:rsid w:val="007C091E"/>
    <w:rsid w:val="007D7CE7"/>
    <w:rsid w:val="007E7013"/>
    <w:rsid w:val="007F6C77"/>
    <w:rsid w:val="008124A2"/>
    <w:rsid w:val="0082119E"/>
    <w:rsid w:val="008516FB"/>
    <w:rsid w:val="008737EE"/>
    <w:rsid w:val="008751C8"/>
    <w:rsid w:val="00875EC6"/>
    <w:rsid w:val="00883445"/>
    <w:rsid w:val="008903BD"/>
    <w:rsid w:val="00894F21"/>
    <w:rsid w:val="00896D1B"/>
    <w:rsid w:val="008A13C8"/>
    <w:rsid w:val="008A2683"/>
    <w:rsid w:val="008B3FBA"/>
    <w:rsid w:val="008C3D4D"/>
    <w:rsid w:val="008C462E"/>
    <w:rsid w:val="008E7145"/>
    <w:rsid w:val="008E7CBF"/>
    <w:rsid w:val="00902813"/>
    <w:rsid w:val="009067D0"/>
    <w:rsid w:val="00910C54"/>
    <w:rsid w:val="00911E30"/>
    <w:rsid w:val="00912C26"/>
    <w:rsid w:val="00914A02"/>
    <w:rsid w:val="00920BB5"/>
    <w:rsid w:val="00931D2B"/>
    <w:rsid w:val="0094240A"/>
    <w:rsid w:val="00945D21"/>
    <w:rsid w:val="00947550"/>
    <w:rsid w:val="00976815"/>
    <w:rsid w:val="00981290"/>
    <w:rsid w:val="00994A62"/>
    <w:rsid w:val="00995548"/>
    <w:rsid w:val="009C1F43"/>
    <w:rsid w:val="009C562B"/>
    <w:rsid w:val="009E1EDE"/>
    <w:rsid w:val="009E2BCB"/>
    <w:rsid w:val="009E6126"/>
    <w:rsid w:val="009F494F"/>
    <w:rsid w:val="00A154A7"/>
    <w:rsid w:val="00A47C1D"/>
    <w:rsid w:val="00A52681"/>
    <w:rsid w:val="00A83961"/>
    <w:rsid w:val="00A95CC4"/>
    <w:rsid w:val="00A97016"/>
    <w:rsid w:val="00AC259B"/>
    <w:rsid w:val="00AE29E8"/>
    <w:rsid w:val="00AE321D"/>
    <w:rsid w:val="00AE6A2C"/>
    <w:rsid w:val="00AF0F6B"/>
    <w:rsid w:val="00AF2609"/>
    <w:rsid w:val="00AF339F"/>
    <w:rsid w:val="00B060A0"/>
    <w:rsid w:val="00B36DEF"/>
    <w:rsid w:val="00B475B3"/>
    <w:rsid w:val="00B61498"/>
    <w:rsid w:val="00B76301"/>
    <w:rsid w:val="00B97A2A"/>
    <w:rsid w:val="00BB7AEC"/>
    <w:rsid w:val="00BC3724"/>
    <w:rsid w:val="00BC4B46"/>
    <w:rsid w:val="00BD4692"/>
    <w:rsid w:val="00BE7749"/>
    <w:rsid w:val="00BF3B2C"/>
    <w:rsid w:val="00BF414B"/>
    <w:rsid w:val="00C04889"/>
    <w:rsid w:val="00C05632"/>
    <w:rsid w:val="00C4478B"/>
    <w:rsid w:val="00C6528E"/>
    <w:rsid w:val="00C65A9A"/>
    <w:rsid w:val="00C740F8"/>
    <w:rsid w:val="00C9548D"/>
    <w:rsid w:val="00C96948"/>
    <w:rsid w:val="00CA2126"/>
    <w:rsid w:val="00CE4441"/>
    <w:rsid w:val="00CE5A65"/>
    <w:rsid w:val="00D10BE5"/>
    <w:rsid w:val="00D2641B"/>
    <w:rsid w:val="00D308DB"/>
    <w:rsid w:val="00D30B65"/>
    <w:rsid w:val="00D355A2"/>
    <w:rsid w:val="00D633AB"/>
    <w:rsid w:val="00D84951"/>
    <w:rsid w:val="00D84B46"/>
    <w:rsid w:val="00D8600F"/>
    <w:rsid w:val="00D94783"/>
    <w:rsid w:val="00DB102F"/>
    <w:rsid w:val="00DB193C"/>
    <w:rsid w:val="00DB3438"/>
    <w:rsid w:val="00DB6C47"/>
    <w:rsid w:val="00DB7ACC"/>
    <w:rsid w:val="00DE0D99"/>
    <w:rsid w:val="00DE6326"/>
    <w:rsid w:val="00DF77F1"/>
    <w:rsid w:val="00E0573C"/>
    <w:rsid w:val="00E14559"/>
    <w:rsid w:val="00E21A0E"/>
    <w:rsid w:val="00E32DF4"/>
    <w:rsid w:val="00E35227"/>
    <w:rsid w:val="00E41E3C"/>
    <w:rsid w:val="00E4686F"/>
    <w:rsid w:val="00E92BC5"/>
    <w:rsid w:val="00EA4C32"/>
    <w:rsid w:val="00EC2D53"/>
    <w:rsid w:val="00EC7BDC"/>
    <w:rsid w:val="00ED6D45"/>
    <w:rsid w:val="00EE4BDB"/>
    <w:rsid w:val="00EE770B"/>
    <w:rsid w:val="00EF3A37"/>
    <w:rsid w:val="00F173F4"/>
    <w:rsid w:val="00F20FE8"/>
    <w:rsid w:val="00F216D6"/>
    <w:rsid w:val="00F250BD"/>
    <w:rsid w:val="00F3776C"/>
    <w:rsid w:val="00F65FF8"/>
    <w:rsid w:val="00F74F3F"/>
    <w:rsid w:val="00FA5623"/>
    <w:rsid w:val="00FB7CB8"/>
    <w:rsid w:val="00FD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E47B8-18AF-4A92-A775-76AF212B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link w:val="RequirementChar"/>
    <w:autoRedefine/>
    <w:rsid w:val="000970FA"/>
    <w:pPr>
      <w:numPr>
        <w:numId w:val="5"/>
      </w:numPr>
      <w:tabs>
        <w:tab w:val="left" w:pos="3240"/>
      </w:tabs>
      <w:autoSpaceDE/>
      <w:autoSpaceDN/>
      <w:adjustRightInd/>
      <w:spacing w:after="1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customStyle="1" w:styleId="RequirementChar">
    <w:name w:val="Requirement Char"/>
    <w:link w:val="Requirement"/>
    <w:rsid w:val="00491C0E"/>
    <w:rPr>
      <w:sz w:val="24"/>
      <w:szCs w:val="24"/>
    </w:rPr>
  </w:style>
  <w:style w:type="paragraph" w:styleId="FootnoteText">
    <w:name w:val="footnote text"/>
    <w:basedOn w:val="Normal"/>
    <w:link w:val="FootnoteTextChar"/>
    <w:semiHidden/>
    <w:rsid w:val="00491C0E"/>
    <w:pPr>
      <w:autoSpaceDE/>
      <w:autoSpaceDN/>
      <w:adjustRightInd/>
      <w:spacing w:after="120"/>
    </w:pPr>
    <w:rPr>
      <w:rFonts w:ascii="Times New Roman" w:hAnsi="Times New Roman" w:cs="Times New Roman"/>
    </w:rPr>
  </w:style>
  <w:style w:type="character" w:customStyle="1" w:styleId="FootnoteTextChar">
    <w:name w:val="Footnote Text Char"/>
    <w:basedOn w:val="DefaultParagraphFont"/>
    <w:link w:val="FootnoteText"/>
    <w:semiHidden/>
    <w:rsid w:val="00491C0E"/>
  </w:style>
  <w:style w:type="character" w:styleId="FootnoteReference">
    <w:name w:val="footnote reference"/>
    <w:semiHidden/>
    <w:rsid w:val="00491C0E"/>
    <w:rPr>
      <w:vertAlign w:val="superscript"/>
    </w:rPr>
  </w:style>
  <w:style w:type="paragraph" w:styleId="ListParagraph">
    <w:name w:val="List Paragraph"/>
    <w:basedOn w:val="Normal"/>
    <w:uiPriority w:val="34"/>
    <w:qFormat/>
    <w:rsid w:val="00491C0E"/>
    <w:pPr>
      <w:ind w:left="720"/>
    </w:pPr>
  </w:style>
  <w:style w:type="character" w:styleId="Strong">
    <w:name w:val="Strong"/>
    <w:qFormat/>
    <w:rsid w:val="000E6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MOD-004-1</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AEB4F-CA5A-455B-8627-218A1119B3F7}"/>
</file>

<file path=customXml/itemProps2.xml><?xml version="1.0" encoding="utf-8"?>
<ds:datastoreItem xmlns:ds="http://schemas.openxmlformats.org/officeDocument/2006/customXml" ds:itemID="{9504C6B7-5A39-47DA-AE4D-3A1C0A6CF8C2}"/>
</file>

<file path=customXml/itemProps3.xml><?xml version="1.0" encoding="utf-8"?>
<ds:datastoreItem xmlns:ds="http://schemas.openxmlformats.org/officeDocument/2006/customXml" ds:itemID="{5BB9EBBA-402B-4661-B6B6-91A8252CCB28}"/>
</file>

<file path=customXml/itemProps4.xml><?xml version="1.0" encoding="utf-8"?>
<ds:datastoreItem xmlns:ds="http://schemas.openxmlformats.org/officeDocument/2006/customXml" ds:itemID="{5F7131AC-F65E-4836-BEED-F9CFCE9FC249}"/>
</file>

<file path=customXml/itemProps5.xml><?xml version="1.0" encoding="utf-8"?>
<ds:datastoreItem xmlns:ds="http://schemas.openxmlformats.org/officeDocument/2006/customXml" ds:itemID="{64E432D2-7C9A-4BE6-B149-DBD92F8BA00F}"/>
</file>

<file path=customXml/itemProps6.xml><?xml version="1.0" encoding="utf-8"?>
<ds:datastoreItem xmlns:ds="http://schemas.openxmlformats.org/officeDocument/2006/customXml" ds:itemID="{1229B1F7-3C09-4517-AB90-2EE1D0A608CE}"/>
</file>

<file path=docProps/app.xml><?xml version="1.0" encoding="utf-8"?>
<Properties xmlns="http://schemas.openxmlformats.org/officeDocument/2006/extended-properties" xmlns:vt="http://schemas.openxmlformats.org/officeDocument/2006/docPropsVTypes">
  <Template>Normal</Template>
  <TotalTime>0</TotalTime>
  <Pages>3</Pages>
  <Words>5650</Words>
  <Characters>32210</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Capacity Benefit Margin</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R5 Supporting Evidence and Documentation</vt:lpstr>
      <vt:lpstr>R6 Supporting Evidence and Documentation</vt:lpstr>
      <vt:lpstr>R7 Supporting Evidence and Documentation</vt:lpstr>
      <vt:lpstr>R8 Supporting Evidence and Documentation</vt:lpstr>
      <vt:lpstr>R9 Supporting Evidence and Documentation</vt:lpstr>
      <vt:lpstr>R10 Supporting Evidence and Documentation</vt:lpstr>
      <vt:lpstr>R11 Supporting Evidence and Documentation</vt:lpstr>
      <vt:lpstr>R12 Supporting Evidence and Documentation</vt:lpstr>
      <vt:lpstr>Supplemental Information</vt:lpstr>
      <vt:lpstr>Compliance Findings Summary (to be filled out by auditor)</vt:lpstr>
    </vt:vector>
  </TitlesOfParts>
  <Company/>
  <LinksUpToDate>false</LinksUpToDate>
  <CharactersWithSpaces>37785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Benefit Margin</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NERCASSETID-406-71</vt:lpwstr>
  </property>
  <property fmtid="{D5CDD505-2E9C-101B-9397-08002B2CF9AE}" pid="3" name="_dlc_DocIdItemGuid">
    <vt:lpwstr>987d7af4-29fb-4c46-bd84-45a47ba6a3b6</vt:lpwstr>
  </property>
  <property fmtid="{D5CDD505-2E9C-101B-9397-08002B2CF9AE}" pid="4" name="_dlc_DocIdUrl">
    <vt:lpwstr>http://www.nerc.com/pa/comp/_layouts/DocIdRedir.aspx?ID=NERCASSETID-406-71, NERCASSETID-406-71</vt:lpwstr>
  </property>
  <property fmtid="{D5CDD505-2E9C-101B-9397-08002B2CF9AE}" pid="5" name="xd_Signature">
    <vt:lpwstr/>
  </property>
  <property fmtid="{D5CDD505-2E9C-101B-9397-08002B2CF9AE}" pid="6" name="Order">
    <vt:lpwstr>7100.00000000000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