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D0367C" w:rsidRPr="00376138">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Pr="001F467C" w:rsidRDefault="008C462E">
      <w:pPr>
        <w:widowControl w:val="0"/>
        <w:spacing w:line="437" w:lineRule="exact"/>
        <w:rPr>
          <w:rFonts w:ascii="Times New Roman" w:hAnsi="Times New Roman" w:cs="Times New Roman"/>
          <w:sz w:val="24"/>
          <w:szCs w:val="24"/>
        </w:rPr>
      </w:pPr>
    </w:p>
    <w:p w:rsidR="00022E5E" w:rsidRDefault="00022E5E" w:rsidP="00945D21">
      <w:pPr>
        <w:widowControl w:val="0"/>
        <w:tabs>
          <w:tab w:val="center" w:pos="5819"/>
        </w:tabs>
        <w:jc w:val="center"/>
        <w:rPr>
          <w:rFonts w:ascii="Times New Roman" w:hAnsi="Times New Roman" w:cs="Times New Roman"/>
          <w:b/>
          <w:bCs/>
          <w:color w:val="000000"/>
          <w:sz w:val="24"/>
          <w:szCs w:val="24"/>
        </w:rPr>
      </w:pPr>
    </w:p>
    <w:p w:rsidR="00022E5E" w:rsidRDefault="00022E5E" w:rsidP="00945D21">
      <w:pPr>
        <w:widowControl w:val="0"/>
        <w:tabs>
          <w:tab w:val="center" w:pos="5819"/>
        </w:tabs>
        <w:jc w:val="center"/>
        <w:rPr>
          <w:rFonts w:ascii="Times New Roman" w:hAnsi="Times New Roman" w:cs="Times New Roman"/>
          <w:b/>
          <w:bCs/>
          <w:color w:val="000000"/>
          <w:sz w:val="24"/>
          <w:szCs w:val="24"/>
        </w:rPr>
      </w:pPr>
    </w:p>
    <w:p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Questionnaire and</w:t>
      </w:r>
    </w:p>
    <w:p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rsidR="00DF77F1" w:rsidRPr="001F467C" w:rsidRDefault="00DF77F1" w:rsidP="00945D21">
      <w:pPr>
        <w:widowControl w:val="0"/>
        <w:tabs>
          <w:tab w:val="center" w:pos="5820"/>
        </w:tabs>
        <w:jc w:val="center"/>
        <w:rPr>
          <w:rFonts w:ascii="Times New Roman" w:hAnsi="Times New Roman" w:cs="Times New Roman"/>
          <w:b/>
          <w:bCs/>
          <w:color w:val="000000"/>
          <w:sz w:val="24"/>
          <w:szCs w:val="24"/>
        </w:rPr>
      </w:pPr>
    </w:p>
    <w:p w:rsidR="00F24B53" w:rsidRDefault="00F24B53" w:rsidP="00945D21">
      <w:pPr>
        <w:widowControl w:val="0"/>
        <w:ind w:left="1" w:hanging="1"/>
        <w:jc w:val="center"/>
        <w:rPr>
          <w:rFonts w:ascii="Times New Roman" w:hAnsi="Times New Roman" w:cs="Times New Roman"/>
          <w:b/>
          <w:bCs/>
          <w:sz w:val="24"/>
          <w:szCs w:val="24"/>
        </w:rPr>
      </w:pPr>
    </w:p>
    <w:p w:rsidR="00022E5E" w:rsidRDefault="00022E5E" w:rsidP="00945D21">
      <w:pPr>
        <w:widowControl w:val="0"/>
        <w:ind w:left="1" w:hanging="1"/>
        <w:jc w:val="center"/>
        <w:rPr>
          <w:rFonts w:ascii="Times New Roman" w:hAnsi="Times New Roman" w:cs="Times New Roman"/>
          <w:b/>
          <w:bCs/>
          <w:sz w:val="24"/>
          <w:szCs w:val="24"/>
        </w:rPr>
      </w:pPr>
    </w:p>
    <w:p w:rsidR="008C462E" w:rsidRPr="00A465E4" w:rsidRDefault="00D10BE5" w:rsidP="00945D21">
      <w:pPr>
        <w:widowControl w:val="0"/>
        <w:ind w:left="1" w:hanging="1"/>
        <w:jc w:val="center"/>
        <w:rPr>
          <w:rFonts w:ascii="Times New Roman" w:hAnsi="Times New Roman" w:cs="Times New Roman"/>
          <w:sz w:val="32"/>
          <w:szCs w:val="32"/>
        </w:rPr>
      </w:pPr>
      <w:r w:rsidRPr="00A465E4">
        <w:rPr>
          <w:rFonts w:ascii="Times New Roman" w:hAnsi="Times New Roman" w:cs="Times New Roman"/>
          <w:b/>
          <w:bCs/>
          <w:sz w:val="32"/>
          <w:szCs w:val="32"/>
        </w:rPr>
        <w:t>MOD-001</w:t>
      </w:r>
      <w:r w:rsidR="001B5272" w:rsidRPr="00A465E4">
        <w:rPr>
          <w:rFonts w:ascii="Times New Roman" w:hAnsi="Times New Roman" w:cs="Times New Roman"/>
          <w:b/>
          <w:bCs/>
          <w:sz w:val="32"/>
          <w:szCs w:val="32"/>
        </w:rPr>
        <w:t>-</w:t>
      </w:r>
      <w:r w:rsidR="00A95CC4" w:rsidRPr="00A465E4">
        <w:rPr>
          <w:rFonts w:ascii="Times New Roman" w:hAnsi="Times New Roman" w:cs="Times New Roman"/>
          <w:b/>
          <w:bCs/>
          <w:sz w:val="32"/>
          <w:szCs w:val="32"/>
        </w:rPr>
        <w:t>1</w:t>
      </w:r>
      <w:r w:rsidR="008A6A9E" w:rsidRPr="00A465E4">
        <w:rPr>
          <w:rFonts w:ascii="Times New Roman" w:hAnsi="Times New Roman" w:cs="Times New Roman"/>
          <w:b/>
          <w:bCs/>
          <w:sz w:val="32"/>
          <w:szCs w:val="32"/>
        </w:rPr>
        <w:t>a</w:t>
      </w:r>
      <w:r w:rsidR="004A7725" w:rsidRPr="00A465E4">
        <w:rPr>
          <w:rFonts w:ascii="Times New Roman" w:hAnsi="Times New Roman" w:cs="Times New Roman"/>
          <w:b/>
          <w:bCs/>
          <w:sz w:val="32"/>
          <w:szCs w:val="32"/>
        </w:rPr>
        <w:t xml:space="preserve"> </w:t>
      </w:r>
      <w:r w:rsidR="001F467C" w:rsidRPr="00A465E4">
        <w:rPr>
          <w:rFonts w:ascii="Times New Roman" w:hAnsi="Times New Roman" w:cs="Times New Roman"/>
          <w:b/>
          <w:bCs/>
          <w:color w:val="003366"/>
          <w:sz w:val="32"/>
          <w:szCs w:val="32"/>
        </w:rPr>
        <w:t>—</w:t>
      </w:r>
      <w:r w:rsidR="00945D21" w:rsidRPr="00A465E4">
        <w:rPr>
          <w:rFonts w:ascii="Times New Roman" w:hAnsi="Times New Roman" w:cs="Times New Roman"/>
          <w:b/>
          <w:bCs/>
          <w:color w:val="003366"/>
          <w:sz w:val="32"/>
          <w:szCs w:val="32"/>
        </w:rPr>
        <w:t xml:space="preserve"> </w:t>
      </w:r>
      <w:r w:rsidRPr="00A465E4">
        <w:rPr>
          <w:rFonts w:ascii="Times New Roman" w:hAnsi="Times New Roman" w:cs="Times New Roman"/>
          <w:b/>
          <w:bCs/>
          <w:sz w:val="32"/>
          <w:szCs w:val="32"/>
        </w:rPr>
        <w:t>Available Transmission System Capability</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022E5E" w:rsidRDefault="008C462E">
      <w:pPr>
        <w:widowControl w:val="0"/>
        <w:tabs>
          <w:tab w:val="left" w:pos="480"/>
        </w:tabs>
        <w:spacing w:line="331" w:lineRule="exact"/>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A465E4">
        <w:rPr>
          <w:rFonts w:ascii="Times New Roman" w:hAnsi="Times New Roman" w:cs="Times New Roman"/>
          <w:b/>
          <w:bCs/>
          <w:color w:val="264D74"/>
          <w:sz w:val="28"/>
          <w:szCs w:val="28"/>
        </w:rPr>
        <w:t>Registered Entity:</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rsidR="00F24B53" w:rsidRDefault="00F24B53">
      <w:pPr>
        <w:widowControl w:val="0"/>
        <w:tabs>
          <w:tab w:val="left" w:pos="48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A465E4">
        <w:rPr>
          <w:rFonts w:ascii="Times New Roman" w:hAnsi="Times New Roman" w:cs="Times New Roman"/>
          <w:b/>
          <w:bCs/>
          <w:color w:val="264D74"/>
          <w:sz w:val="28"/>
          <w:szCs w:val="28"/>
        </w:rPr>
        <w:t>NCR Number:</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F24B53" w:rsidRDefault="00F24B53">
      <w:pPr>
        <w:widowControl w:val="0"/>
        <w:tabs>
          <w:tab w:val="left" w:pos="480"/>
          <w:tab w:val="left" w:pos="372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 w:val="left" w:pos="3720"/>
        </w:tabs>
        <w:spacing w:line="331" w:lineRule="exact"/>
        <w:rPr>
          <w:rFonts w:ascii="Times New Roman" w:hAnsi="Times New Roman" w:cs="Times New Roman"/>
          <w:b/>
          <w:bCs/>
          <w:color w:val="000000"/>
          <w:sz w:val="24"/>
          <w:szCs w:val="24"/>
        </w:rPr>
      </w:pPr>
      <w:r w:rsidRPr="00A465E4">
        <w:rPr>
          <w:rFonts w:ascii="Times New Roman" w:hAnsi="Times New Roman" w:cs="Times New Roman"/>
          <w:b/>
          <w:bCs/>
          <w:color w:val="264D74"/>
          <w:sz w:val="28"/>
          <w:szCs w:val="28"/>
        </w:rPr>
        <w:t>Applicable Function(s):</w:t>
      </w:r>
      <w:r w:rsidR="00A95CC4">
        <w:rPr>
          <w:rFonts w:ascii="Times New Roman" w:hAnsi="Times New Roman" w:cs="Times New Roman"/>
          <w:b/>
          <w:bCs/>
          <w:color w:val="264D74"/>
          <w:sz w:val="24"/>
          <w:szCs w:val="24"/>
        </w:rPr>
        <w:t xml:space="preserve"> </w:t>
      </w:r>
      <w:r w:rsidR="001E693D" w:rsidRPr="00F24B53">
        <w:rPr>
          <w:rFonts w:ascii="Times New Roman" w:hAnsi="Times New Roman" w:cs="Times New Roman"/>
          <w:b/>
          <w:bCs/>
          <w:sz w:val="24"/>
          <w:szCs w:val="24"/>
        </w:rPr>
        <w:t xml:space="preserve">TOP, </w:t>
      </w:r>
      <w:r w:rsidR="00D10BE5" w:rsidRPr="00F24B53">
        <w:rPr>
          <w:rFonts w:ascii="Times New Roman" w:hAnsi="Times New Roman" w:cs="Times New Roman"/>
          <w:b/>
          <w:bCs/>
          <w:sz w:val="24"/>
          <w:szCs w:val="24"/>
        </w:rPr>
        <w:t>TSP</w:t>
      </w:r>
    </w:p>
    <w:p w:rsidR="00F24B53" w:rsidRDefault="00F24B53" w:rsidP="00F24B53">
      <w:pPr>
        <w:widowControl w:val="0"/>
        <w:tabs>
          <w:tab w:val="left" w:pos="120"/>
        </w:tabs>
        <w:spacing w:line="331" w:lineRule="exact"/>
        <w:rPr>
          <w:rFonts w:ascii="Times New Roman" w:hAnsi="Times New Roman" w:cs="Times New Roman"/>
          <w:b/>
          <w:bCs/>
          <w:color w:val="264D74"/>
          <w:sz w:val="24"/>
          <w:szCs w:val="24"/>
        </w:rPr>
      </w:pPr>
    </w:p>
    <w:p w:rsidR="00DF77F1" w:rsidRPr="00A465E4" w:rsidRDefault="00F24B53" w:rsidP="00F24B53">
      <w:pPr>
        <w:widowControl w:val="0"/>
        <w:tabs>
          <w:tab w:val="left" w:pos="120"/>
        </w:tabs>
        <w:spacing w:line="331" w:lineRule="exact"/>
        <w:rPr>
          <w:rFonts w:ascii="Times New Roman" w:hAnsi="Times New Roman" w:cs="Times New Roman"/>
          <w:b/>
          <w:bCs/>
          <w:color w:val="264D74"/>
          <w:sz w:val="28"/>
          <w:szCs w:val="28"/>
        </w:rPr>
      </w:pPr>
      <w:r w:rsidRPr="00A465E4">
        <w:rPr>
          <w:rFonts w:ascii="Times New Roman" w:hAnsi="Times New Roman" w:cs="Times New Roman"/>
          <w:b/>
          <w:bCs/>
          <w:color w:val="264D74"/>
          <w:sz w:val="28"/>
          <w:szCs w:val="28"/>
        </w:rPr>
        <w:t>A</w:t>
      </w:r>
      <w:r w:rsidR="00DF77F1" w:rsidRPr="00A465E4">
        <w:rPr>
          <w:rFonts w:ascii="Times New Roman" w:hAnsi="Times New Roman" w:cs="Times New Roman"/>
          <w:b/>
          <w:bCs/>
          <w:color w:val="264D74"/>
          <w:sz w:val="28"/>
          <w:szCs w:val="28"/>
        </w:rPr>
        <w:t>uditors:</w:t>
      </w:r>
    </w:p>
    <w:p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spacing w:line="120" w:lineRule="exact"/>
        <w:rPr>
          <w:rFonts w:ascii="Times New Roman" w:hAnsi="Times New Roman" w:cs="Times New Roman"/>
          <w:sz w:val="24"/>
          <w:szCs w:val="24"/>
        </w:rPr>
      </w:pPr>
    </w:p>
    <w:p w:rsidR="008C462E" w:rsidRPr="001F467C"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rsidR="004F75F1" w:rsidRDefault="004F75F1" w:rsidP="009F494F">
      <w:pPr>
        <w:widowControl w:val="0"/>
        <w:tabs>
          <w:tab w:val="left" w:pos="120"/>
        </w:tabs>
        <w:spacing w:line="331" w:lineRule="exact"/>
        <w:rPr>
          <w:rFonts w:ascii="Times New Roman" w:hAnsi="Times New Roman" w:cs="Times New Roman"/>
          <w:b/>
          <w:bCs/>
          <w:color w:val="003366"/>
          <w:sz w:val="24"/>
          <w:szCs w:val="24"/>
        </w:rPr>
      </w:pPr>
    </w:p>
    <w:p w:rsidR="009F494F" w:rsidRPr="00A465E4" w:rsidRDefault="009F494F" w:rsidP="009F494F">
      <w:pPr>
        <w:widowControl w:val="0"/>
        <w:tabs>
          <w:tab w:val="left" w:pos="120"/>
        </w:tabs>
        <w:spacing w:line="331" w:lineRule="exact"/>
        <w:rPr>
          <w:rFonts w:ascii="Times New Roman" w:hAnsi="Times New Roman" w:cs="Times New Roman"/>
          <w:b/>
          <w:bCs/>
          <w:color w:val="003366"/>
          <w:sz w:val="28"/>
          <w:szCs w:val="28"/>
        </w:rPr>
      </w:pPr>
      <w:r w:rsidRPr="00A465E4">
        <w:rPr>
          <w:rFonts w:ascii="Times New Roman" w:hAnsi="Times New Roman" w:cs="Times New Roman"/>
          <w:b/>
          <w:bCs/>
          <w:color w:val="003366"/>
          <w:sz w:val="28"/>
          <w:szCs w:val="28"/>
        </w:rPr>
        <w:t>Disclaimer</w:t>
      </w:r>
    </w:p>
    <w:p w:rsidR="009F494F" w:rsidRPr="00A465E4" w:rsidRDefault="009F494F" w:rsidP="009F494F">
      <w:pPr>
        <w:widowControl w:val="0"/>
        <w:tabs>
          <w:tab w:val="left" w:pos="120"/>
        </w:tabs>
        <w:spacing w:line="284" w:lineRule="exact"/>
        <w:rPr>
          <w:rFonts w:ascii="Times New Roman" w:hAnsi="Times New Roman" w:cs="Times New Roman"/>
          <w:sz w:val="28"/>
          <w:szCs w:val="28"/>
        </w:rPr>
      </w:pPr>
      <w:r w:rsidRPr="00A465E4">
        <w:rPr>
          <w:rFonts w:ascii="Times New Roman" w:hAnsi="Times New Roman" w:cs="Times New Roman"/>
          <w:sz w:val="28"/>
          <w:szCs w:val="28"/>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A465E4" w:rsidRDefault="008C462E" w:rsidP="005810E2">
      <w:pPr>
        <w:pStyle w:val="Heading1"/>
        <w:rPr>
          <w:sz w:val="48"/>
          <w:szCs w:val="48"/>
        </w:rPr>
      </w:pPr>
      <w:r w:rsidRPr="001F467C">
        <w:rPr>
          <w:rFonts w:ascii="Times New Roman" w:hAnsi="Times New Roman" w:cs="Times New Roman"/>
          <w:sz w:val="24"/>
          <w:szCs w:val="24"/>
        </w:rPr>
        <w:br w:type="page"/>
      </w:r>
      <w:r w:rsidR="00DF77F1" w:rsidRPr="00A465E4">
        <w:rPr>
          <w:sz w:val="48"/>
          <w:szCs w:val="48"/>
        </w:rPr>
        <w:lastRenderedPageBreak/>
        <w:t>Subject Matter Experts</w:t>
      </w:r>
    </w:p>
    <w:p w:rsidR="00E42C15" w:rsidRDefault="00E42C15"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616A77">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616A77" w:rsidTr="00B060A0">
        <w:tc>
          <w:tcPr>
            <w:tcW w:w="3528" w:type="dxa"/>
            <w:tcBorders>
              <w:top w:val="single" w:sz="8" w:space="0" w:color="4F81BD"/>
              <w:left w:val="nil"/>
              <w:bottom w:val="single" w:sz="8" w:space="0" w:color="4F81BD"/>
              <w:right w:val="nil"/>
            </w:tcBorders>
          </w:tcPr>
          <w:p w:rsidR="00DF77F1" w:rsidRPr="00616A77" w:rsidRDefault="00DF77F1" w:rsidP="00B060A0">
            <w:pPr>
              <w:widowControl w:val="0"/>
              <w:spacing w:line="468" w:lineRule="exact"/>
              <w:rPr>
                <w:rFonts w:ascii="Times New Roman" w:hAnsi="Times New Roman" w:cs="Times New Roman"/>
                <w:b/>
                <w:bCs/>
                <w:color w:val="264D74"/>
                <w:sz w:val="24"/>
                <w:szCs w:val="24"/>
              </w:rPr>
            </w:pPr>
            <w:r w:rsidRPr="00616A77">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616A77" w:rsidRDefault="00DF77F1" w:rsidP="00B060A0">
            <w:pPr>
              <w:widowControl w:val="0"/>
              <w:spacing w:line="468" w:lineRule="exact"/>
              <w:rPr>
                <w:rFonts w:ascii="Times New Roman" w:hAnsi="Times New Roman" w:cs="Times New Roman"/>
                <w:b/>
                <w:bCs/>
                <w:color w:val="264D74"/>
                <w:sz w:val="24"/>
                <w:szCs w:val="24"/>
              </w:rPr>
            </w:pPr>
            <w:r w:rsidRPr="00616A77">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616A77" w:rsidRDefault="00DF77F1" w:rsidP="00B060A0">
            <w:pPr>
              <w:widowControl w:val="0"/>
              <w:spacing w:line="468" w:lineRule="exact"/>
              <w:rPr>
                <w:rFonts w:ascii="Times New Roman" w:hAnsi="Times New Roman" w:cs="Times New Roman"/>
                <w:b/>
                <w:bCs/>
                <w:color w:val="264D74"/>
                <w:sz w:val="24"/>
                <w:szCs w:val="24"/>
              </w:rPr>
            </w:pPr>
            <w:r w:rsidRPr="00616A77">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616A77" w:rsidRDefault="00DF77F1" w:rsidP="00B060A0">
            <w:pPr>
              <w:widowControl w:val="0"/>
              <w:spacing w:line="468" w:lineRule="exact"/>
              <w:rPr>
                <w:rFonts w:ascii="Times New Roman" w:hAnsi="Times New Roman" w:cs="Times New Roman"/>
                <w:b/>
                <w:bCs/>
                <w:color w:val="264D74"/>
                <w:sz w:val="24"/>
                <w:szCs w:val="24"/>
              </w:rPr>
            </w:pPr>
            <w:r w:rsidRPr="00616A77">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DF77F1" w:rsidRPr="00234680" w:rsidRDefault="00DF77F1" w:rsidP="00DF77F1">
      <w:pPr>
        <w:widowControl w:val="0"/>
        <w:spacing w:line="468"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2B6766" w:rsidRPr="00A465E4" w:rsidRDefault="00DF77F1" w:rsidP="00616A77">
      <w:pPr>
        <w:pStyle w:val="Heading1"/>
        <w:rPr>
          <w:sz w:val="48"/>
          <w:szCs w:val="48"/>
        </w:rPr>
      </w:pPr>
      <w:r>
        <w:rPr>
          <w:rFonts w:ascii="Times New Roman" w:hAnsi="Times New Roman" w:cs="Times New Roman"/>
          <w:sz w:val="24"/>
          <w:szCs w:val="24"/>
        </w:rPr>
        <w:br w:type="page"/>
      </w:r>
      <w:r w:rsidR="002B6766" w:rsidRPr="00A465E4">
        <w:rPr>
          <w:sz w:val="48"/>
          <w:szCs w:val="48"/>
        </w:rPr>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A465E4"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A465E4">
        <w:rPr>
          <w:rFonts w:ascii="Times New Roman" w:hAnsi="Times New Roman" w:cs="Times New Roman"/>
          <w:sz w:val="28"/>
          <w:szCs w:val="28"/>
        </w:rPr>
        <w:tab/>
      </w:r>
      <w:r w:rsidR="00D10BE5" w:rsidRPr="00A465E4">
        <w:rPr>
          <w:rFonts w:ascii="Times New Roman" w:hAnsi="Times New Roman" w:cs="Times New Roman"/>
          <w:b/>
          <w:bCs/>
          <w:color w:val="003366"/>
          <w:sz w:val="28"/>
          <w:szCs w:val="28"/>
        </w:rPr>
        <w:t>MOD-001</w:t>
      </w:r>
      <w:r w:rsidR="001F467C" w:rsidRPr="00A465E4">
        <w:rPr>
          <w:rFonts w:ascii="Times New Roman" w:hAnsi="Times New Roman" w:cs="Times New Roman"/>
          <w:b/>
          <w:bCs/>
          <w:color w:val="003366"/>
          <w:sz w:val="28"/>
          <w:szCs w:val="28"/>
        </w:rPr>
        <w:t>-</w:t>
      </w:r>
      <w:r w:rsidR="001D0C8A" w:rsidRPr="00A465E4">
        <w:rPr>
          <w:rFonts w:ascii="Times New Roman" w:hAnsi="Times New Roman" w:cs="Times New Roman"/>
          <w:b/>
          <w:bCs/>
          <w:color w:val="003366"/>
          <w:sz w:val="28"/>
          <w:szCs w:val="28"/>
        </w:rPr>
        <w:t>1</w:t>
      </w:r>
      <w:r w:rsidR="00AB1317" w:rsidRPr="00A465E4">
        <w:rPr>
          <w:rFonts w:ascii="Times New Roman" w:hAnsi="Times New Roman" w:cs="Times New Roman"/>
          <w:b/>
          <w:bCs/>
          <w:color w:val="003366"/>
          <w:sz w:val="28"/>
          <w:szCs w:val="28"/>
        </w:rPr>
        <w:t>a</w:t>
      </w:r>
      <w:r w:rsidRPr="00A465E4">
        <w:rPr>
          <w:rFonts w:ascii="Times New Roman" w:hAnsi="Times New Roman" w:cs="Times New Roman"/>
          <w:b/>
          <w:bCs/>
          <w:color w:val="003366"/>
          <w:sz w:val="28"/>
          <w:szCs w:val="28"/>
        </w:rPr>
        <w:t xml:space="preserve"> </w:t>
      </w:r>
      <w:r w:rsidR="001F467C" w:rsidRPr="00A465E4">
        <w:rPr>
          <w:rFonts w:ascii="Times New Roman" w:hAnsi="Times New Roman" w:cs="Times New Roman"/>
          <w:b/>
          <w:bCs/>
          <w:color w:val="003366"/>
          <w:sz w:val="28"/>
          <w:szCs w:val="28"/>
        </w:rPr>
        <w:t>—</w:t>
      </w:r>
      <w:r w:rsidRPr="00A465E4">
        <w:rPr>
          <w:rFonts w:ascii="Times New Roman" w:hAnsi="Times New Roman" w:cs="Times New Roman"/>
          <w:b/>
          <w:bCs/>
          <w:color w:val="003366"/>
          <w:sz w:val="28"/>
          <w:szCs w:val="28"/>
        </w:rPr>
        <w:t xml:space="preserve"> </w:t>
      </w:r>
      <w:r w:rsidR="00D10BE5" w:rsidRPr="00A465E4">
        <w:rPr>
          <w:rFonts w:ascii="Times New Roman" w:hAnsi="Times New Roman" w:cs="Times New Roman"/>
          <w:b/>
          <w:bCs/>
          <w:color w:val="003366"/>
          <w:sz w:val="28"/>
          <w:szCs w:val="28"/>
        </w:rPr>
        <w:t>Available Transmission Capability</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8C462E" w:rsidRPr="00A465E4" w:rsidRDefault="008C462E">
      <w:pPr>
        <w:widowControl w:val="0"/>
        <w:tabs>
          <w:tab w:val="left" w:pos="840"/>
        </w:tabs>
        <w:spacing w:line="294" w:lineRule="exact"/>
        <w:rPr>
          <w:rFonts w:ascii="Times New Roman" w:hAnsi="Times New Roman" w:cs="Times New Roman"/>
          <w:b/>
          <w:bCs/>
          <w:color w:val="264D74"/>
          <w:sz w:val="28"/>
          <w:szCs w:val="28"/>
        </w:rPr>
      </w:pPr>
      <w:r w:rsidRPr="00A465E4">
        <w:rPr>
          <w:rFonts w:ascii="Times New Roman" w:hAnsi="Times New Roman" w:cs="Times New Roman"/>
          <w:b/>
          <w:bCs/>
          <w:color w:val="264D74"/>
          <w:sz w:val="28"/>
          <w:szCs w:val="28"/>
        </w:rPr>
        <w:t xml:space="preserve">Purpose: </w:t>
      </w:r>
    </w:p>
    <w:p w:rsidR="00D10BE5" w:rsidRPr="00203722" w:rsidRDefault="00D10BE5" w:rsidP="00D10BE5">
      <w:pPr>
        <w:pStyle w:val="Default"/>
      </w:pPr>
    </w:p>
    <w:p w:rsidR="00D10BE5" w:rsidRPr="00203722" w:rsidRDefault="00D10BE5" w:rsidP="00D10BE5">
      <w:pPr>
        <w:pStyle w:val="Default"/>
      </w:pPr>
      <w:r w:rsidRPr="00203722">
        <w:t xml:space="preserve">To ensure that calculations are performed by Transmission Service Providers to maintain awareness of available transmission system capability and future flows on their own systems as well as those of their neighbors. </w:t>
      </w:r>
    </w:p>
    <w:p w:rsidR="002E66FF" w:rsidRPr="00203722" w:rsidRDefault="002E66FF">
      <w:pPr>
        <w:widowControl w:val="0"/>
        <w:tabs>
          <w:tab w:val="left" w:pos="840"/>
        </w:tabs>
        <w:spacing w:line="294" w:lineRule="exact"/>
        <w:rPr>
          <w:rFonts w:ascii="Times New Roman" w:hAnsi="Times New Roman" w:cs="Times New Roman"/>
          <w:b/>
          <w:bCs/>
          <w:color w:val="264D74"/>
          <w:sz w:val="24"/>
          <w:szCs w:val="24"/>
        </w:rPr>
      </w:pPr>
    </w:p>
    <w:p w:rsidR="008737EE" w:rsidRPr="001F467C" w:rsidRDefault="008737EE">
      <w:pPr>
        <w:widowControl w:val="0"/>
        <w:tabs>
          <w:tab w:val="left" w:pos="840"/>
        </w:tabs>
        <w:spacing w:line="294" w:lineRule="exact"/>
        <w:rPr>
          <w:rFonts w:ascii="Times New Roman" w:hAnsi="Times New Roman" w:cs="Times New Roman"/>
          <w:b/>
          <w:bCs/>
          <w:color w:val="264D74"/>
          <w:sz w:val="24"/>
          <w:szCs w:val="24"/>
        </w:rPr>
      </w:pPr>
    </w:p>
    <w:p w:rsidR="008C462E" w:rsidRPr="00A465E4" w:rsidRDefault="008C462E">
      <w:pPr>
        <w:widowControl w:val="0"/>
        <w:tabs>
          <w:tab w:val="left" w:pos="840"/>
        </w:tabs>
        <w:spacing w:line="294" w:lineRule="exact"/>
        <w:rPr>
          <w:rFonts w:ascii="Times New Roman" w:hAnsi="Times New Roman" w:cs="Times New Roman"/>
          <w:b/>
          <w:bCs/>
          <w:color w:val="264D74"/>
          <w:sz w:val="28"/>
          <w:szCs w:val="28"/>
        </w:rPr>
      </w:pPr>
      <w:r w:rsidRPr="00A465E4">
        <w:rPr>
          <w:rFonts w:ascii="Times New Roman" w:hAnsi="Times New Roman" w:cs="Times New Roman"/>
          <w:b/>
          <w:bCs/>
          <w:color w:val="264D74"/>
          <w:sz w:val="28"/>
          <w:szCs w:val="28"/>
        </w:rPr>
        <w:t>Applicability:</w:t>
      </w:r>
    </w:p>
    <w:p w:rsidR="001E693D" w:rsidRPr="001F467C"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sidRPr="001F467C">
        <w:rPr>
          <w:rFonts w:ascii="Times New Roman" w:hAnsi="Times New Roman" w:cs="Times New Roman"/>
          <w:bCs/>
          <w:snapToGrid w:val="0"/>
          <w:sz w:val="24"/>
          <w:szCs w:val="24"/>
        </w:rPr>
        <w:t xml:space="preserve">    </w:t>
      </w:r>
      <w:r w:rsidR="00D10BE5">
        <w:rPr>
          <w:rFonts w:ascii="Times New Roman" w:hAnsi="Times New Roman" w:cs="Times New Roman"/>
          <w:bCs/>
          <w:snapToGrid w:val="0"/>
          <w:sz w:val="24"/>
          <w:szCs w:val="24"/>
        </w:rPr>
        <w:t>Transmission Service Provider</w:t>
      </w:r>
    </w:p>
    <w:p w:rsidR="008737EE" w:rsidRPr="001F467C" w:rsidRDefault="001E693D" w:rsidP="00D10BE5">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67C">
        <w:rPr>
          <w:rFonts w:ascii="Times New Roman" w:hAnsi="Times New Roman" w:cs="Times New Roman"/>
          <w:bCs/>
          <w:snapToGrid w:val="0"/>
          <w:sz w:val="24"/>
          <w:szCs w:val="24"/>
        </w:rPr>
        <w:t xml:space="preserve">    </w:t>
      </w:r>
      <w:r w:rsidR="002E66FF" w:rsidRPr="001F467C">
        <w:rPr>
          <w:rFonts w:ascii="Times New Roman" w:hAnsi="Times New Roman" w:cs="Times New Roman"/>
          <w:bCs/>
          <w:snapToGrid w:val="0"/>
          <w:sz w:val="24"/>
          <w:szCs w:val="24"/>
        </w:rPr>
        <w:t xml:space="preserve">Transmission Operator    </w:t>
      </w:r>
    </w:p>
    <w:p w:rsidR="002E66FF" w:rsidRPr="001F467C"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sidRPr="001F467C">
        <w:rPr>
          <w:rFonts w:ascii="Times New Roman" w:hAnsi="Times New Roman" w:cs="Times New Roman"/>
          <w:bCs/>
          <w:snapToGrid w:val="0"/>
          <w:sz w:val="24"/>
          <w:szCs w:val="24"/>
        </w:rPr>
        <w:t xml:space="preserve">    </w:t>
      </w:r>
    </w:p>
    <w:p w:rsidR="008737EE" w:rsidRPr="001F467C" w:rsidRDefault="008737EE"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p>
    <w:p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p>
    <w:p w:rsidR="008C462E" w:rsidRPr="003512AC" w:rsidRDefault="008C462E">
      <w:pPr>
        <w:widowControl w:val="0"/>
        <w:spacing w:line="120" w:lineRule="exact"/>
        <w:rPr>
          <w:rFonts w:ascii="Times New Roman Bold" w:hAnsi="Times New Roman Bold" w:cs="Times New Roman"/>
          <w:sz w:val="24"/>
          <w:szCs w:val="24"/>
        </w:rPr>
      </w:pPr>
    </w:p>
    <w:p w:rsidR="008C462E" w:rsidRPr="003C7E43" w:rsidRDefault="008C462E">
      <w:pPr>
        <w:widowControl w:val="0"/>
        <w:tabs>
          <w:tab w:val="left" w:pos="480"/>
        </w:tabs>
        <w:spacing w:line="24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FERC Approval </w:t>
      </w:r>
      <w:r w:rsidRPr="003C7E43">
        <w:rPr>
          <w:rFonts w:ascii="Times New Roman Bold" w:hAnsi="Times New Roman Bold" w:cs="Times New Roman"/>
          <w:b/>
          <w:bCs/>
          <w:sz w:val="24"/>
          <w:szCs w:val="24"/>
        </w:rPr>
        <w:t xml:space="preserve">Date: </w:t>
      </w:r>
    </w:p>
    <w:p w:rsidR="008C462E" w:rsidRPr="003C7E43" w:rsidRDefault="008C462E">
      <w:pPr>
        <w:widowControl w:val="0"/>
        <w:spacing w:line="120" w:lineRule="exact"/>
        <w:rPr>
          <w:rFonts w:ascii="Times New Roman Bold" w:hAnsi="Times New Roman Bold" w:cs="Times New Roman"/>
          <w:sz w:val="24"/>
          <w:szCs w:val="24"/>
        </w:rPr>
      </w:pPr>
    </w:p>
    <w:p w:rsidR="008C462E" w:rsidRPr="003C7E43" w:rsidRDefault="008C462E">
      <w:pPr>
        <w:widowControl w:val="0"/>
        <w:tabs>
          <w:tab w:val="left" w:pos="480"/>
        </w:tabs>
        <w:spacing w:line="240" w:lineRule="exact"/>
        <w:rPr>
          <w:rFonts w:ascii="Times New Roman Bold" w:hAnsi="Times New Roman Bold" w:cs="Times New Roman"/>
          <w:b/>
          <w:bCs/>
          <w:sz w:val="24"/>
          <w:szCs w:val="24"/>
        </w:rPr>
      </w:pPr>
      <w:r w:rsidRPr="003C7E43">
        <w:rPr>
          <w:rFonts w:ascii="Times New Roman Bold" w:hAnsi="Times New Roman Bold" w:cs="Times New Roman"/>
          <w:b/>
          <w:bCs/>
          <w:sz w:val="24"/>
          <w:szCs w:val="24"/>
        </w:rPr>
        <w:t>Reliability Standard Enforcem</w:t>
      </w:r>
      <w:r w:rsidR="0015310F" w:rsidRPr="003C7E43">
        <w:rPr>
          <w:rFonts w:ascii="Times New Roman Bold" w:hAnsi="Times New Roman Bold" w:cs="Times New Roman"/>
          <w:b/>
          <w:bCs/>
          <w:sz w:val="24"/>
          <w:szCs w:val="24"/>
        </w:rPr>
        <w:t xml:space="preserve">ent Date in the United States: </w:t>
      </w:r>
    </w:p>
    <w:p w:rsidR="008C462E" w:rsidRPr="001F467C" w:rsidRDefault="008C462E">
      <w:pPr>
        <w:widowControl w:val="0"/>
        <w:spacing w:line="240" w:lineRule="exact"/>
        <w:rPr>
          <w:rFonts w:ascii="Times New Roman" w:hAnsi="Times New Roman" w:cs="Times New Roman"/>
          <w:sz w:val="24"/>
          <w:szCs w:val="24"/>
        </w:rPr>
      </w:pPr>
    </w:p>
    <w:p w:rsidR="00C96948" w:rsidRPr="001F467C" w:rsidRDefault="00C96948">
      <w:pPr>
        <w:widowControl w:val="0"/>
        <w:spacing w:line="240" w:lineRule="exact"/>
        <w:rPr>
          <w:rFonts w:ascii="Times New Roman" w:hAnsi="Times New Roman" w:cs="Times New Roman"/>
          <w:sz w:val="24"/>
          <w:szCs w:val="24"/>
        </w:rPr>
      </w:pPr>
    </w:p>
    <w:p w:rsidR="00D2641B" w:rsidRPr="00A465E4" w:rsidRDefault="00D2641B">
      <w:pPr>
        <w:widowControl w:val="0"/>
        <w:spacing w:line="294" w:lineRule="exact"/>
        <w:rPr>
          <w:rFonts w:ascii="Times New Roman" w:hAnsi="Times New Roman" w:cs="Times New Roman"/>
          <w:b/>
          <w:bCs/>
          <w:color w:val="003366"/>
          <w:sz w:val="28"/>
          <w:szCs w:val="28"/>
        </w:rPr>
      </w:pPr>
      <w:r w:rsidRPr="00A465E4">
        <w:rPr>
          <w:rFonts w:ascii="Times New Roman" w:hAnsi="Times New Roman" w:cs="Times New Roman"/>
          <w:b/>
          <w:bCs/>
          <w:color w:val="003366"/>
          <w:sz w:val="28"/>
          <w:szCs w:val="28"/>
        </w:rPr>
        <w:t>Requirements:</w:t>
      </w:r>
    </w:p>
    <w:p w:rsidR="00873C3B" w:rsidRPr="002B3BBC" w:rsidRDefault="00873C3B">
      <w:pPr>
        <w:widowControl w:val="0"/>
        <w:spacing w:line="294" w:lineRule="exact"/>
        <w:rPr>
          <w:rFonts w:ascii="Times New Roman" w:hAnsi="Times New Roman" w:cs="Times New Roman"/>
          <w:b/>
          <w:bCs/>
          <w:color w:val="003366"/>
          <w:sz w:val="28"/>
          <w:szCs w:val="28"/>
        </w:rPr>
      </w:pPr>
    </w:p>
    <w:p w:rsidR="00873C3B" w:rsidRPr="009C72D7" w:rsidRDefault="00873C3B" w:rsidP="00873C3B">
      <w:pPr>
        <w:pStyle w:val="Requirement"/>
        <w:tabs>
          <w:tab w:val="clear" w:pos="720"/>
          <w:tab w:val="num" w:pos="1080"/>
          <w:tab w:val="left" w:pos="2592"/>
        </w:tabs>
        <w:ind w:left="1080" w:hanging="576"/>
      </w:pPr>
      <w:r w:rsidRPr="009C72D7">
        <w:t>Each Transmission Operator shall select one of the methodologies</w:t>
      </w:r>
      <w:r w:rsidRPr="009C72D7">
        <w:rPr>
          <w:rStyle w:val="FootnoteReference"/>
        </w:rPr>
        <w:footnoteReference w:id="1"/>
      </w:r>
      <w:r w:rsidRPr="009C72D7">
        <w:t xml:space="preserve"> listed below for calculating Available Transfer Capability (ATC) or Available Flowgate Capability (AFC) for each ATC Path per time period identified in R2 for those Facilities within its Transmission operating area:  [</w:t>
      </w:r>
      <w:r w:rsidRPr="009C72D7">
        <w:rPr>
          <w:i/>
        </w:rPr>
        <w:t>Violation Risk Factor: Lower</w:t>
      </w:r>
      <w:r w:rsidRPr="009C72D7">
        <w:t>] [</w:t>
      </w:r>
      <w:r w:rsidRPr="009C72D7">
        <w:rPr>
          <w:i/>
        </w:rPr>
        <w:t>Time Horizon: Operations Planning</w:t>
      </w:r>
      <w:r w:rsidRPr="009C72D7">
        <w:t>]</w:t>
      </w:r>
    </w:p>
    <w:p w:rsidR="00873C3B" w:rsidRPr="009C72D7" w:rsidRDefault="00873C3B" w:rsidP="00873C3B">
      <w:pPr>
        <w:pStyle w:val="Requirement"/>
        <w:numPr>
          <w:ilvl w:val="0"/>
          <w:numId w:val="17"/>
        </w:numPr>
        <w:tabs>
          <w:tab w:val="left" w:pos="2592"/>
        </w:tabs>
      </w:pPr>
      <w:r w:rsidRPr="009C72D7">
        <w:t>The Area Interchange Methodology, as described in MOD-028</w:t>
      </w:r>
    </w:p>
    <w:p w:rsidR="00873C3B" w:rsidRPr="009C72D7" w:rsidRDefault="00873C3B" w:rsidP="00873C3B">
      <w:pPr>
        <w:pStyle w:val="Requirement"/>
        <w:numPr>
          <w:ilvl w:val="0"/>
          <w:numId w:val="17"/>
        </w:numPr>
        <w:tabs>
          <w:tab w:val="left" w:pos="2592"/>
        </w:tabs>
      </w:pPr>
      <w:r w:rsidRPr="009C72D7">
        <w:t>The Rated System Path Methodology, as described in MOD-029</w:t>
      </w:r>
    </w:p>
    <w:p w:rsidR="00873C3B" w:rsidRPr="009C72D7" w:rsidRDefault="00873C3B" w:rsidP="00873C3B">
      <w:pPr>
        <w:pStyle w:val="Requirement"/>
        <w:numPr>
          <w:ilvl w:val="0"/>
          <w:numId w:val="17"/>
        </w:numPr>
        <w:tabs>
          <w:tab w:val="left" w:pos="2592"/>
        </w:tabs>
      </w:pPr>
      <w:r w:rsidRPr="009C72D7">
        <w:t>The Flowgate Methodology, as described in MOD-030</w:t>
      </w:r>
    </w:p>
    <w:p w:rsidR="002D1C0A" w:rsidRPr="001F467C" w:rsidRDefault="002D1C0A" w:rsidP="002D1C0A">
      <w:pPr>
        <w:pStyle w:val="Section"/>
        <w:numPr>
          <w:ilvl w:val="0"/>
          <w:numId w:val="0"/>
        </w:numPr>
        <w:rPr>
          <w:rFonts w:ascii="Times New Roman" w:hAnsi="Times New Roman"/>
          <w:sz w:val="24"/>
        </w:rPr>
      </w:pP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3C7E43" w:rsidRPr="00616A77" w:rsidRDefault="003C7E43" w:rsidP="003C7E43">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007458D4" w:rsidRPr="00616A77">
        <w:rPr>
          <w:rFonts w:ascii="Times New Roman" w:hAnsi="Times New Roman" w:cs="Times New Roman"/>
          <w:bCs/>
          <w:sz w:val="24"/>
          <w:szCs w:val="24"/>
        </w:rPr>
        <w:t xml:space="preserve">Identify the </w:t>
      </w:r>
      <w:r w:rsidRPr="00616A77">
        <w:rPr>
          <w:rFonts w:ascii="Times New Roman" w:hAnsi="Times New Roman" w:cs="Times New Roman"/>
          <w:bCs/>
          <w:sz w:val="24"/>
          <w:szCs w:val="24"/>
        </w:rPr>
        <w:t>ATC methodology</w:t>
      </w:r>
      <w:r w:rsidR="005810E2" w:rsidRPr="00616A77">
        <w:rPr>
          <w:rFonts w:ascii="Times New Roman" w:hAnsi="Times New Roman" w:cs="Times New Roman"/>
          <w:bCs/>
          <w:sz w:val="24"/>
          <w:szCs w:val="24"/>
        </w:rPr>
        <w:t>(s)</w:t>
      </w:r>
      <w:r w:rsidRPr="00616A77">
        <w:rPr>
          <w:rFonts w:ascii="Times New Roman" w:hAnsi="Times New Roman" w:cs="Times New Roman"/>
          <w:bCs/>
          <w:sz w:val="24"/>
          <w:szCs w:val="24"/>
        </w:rPr>
        <w:t xml:space="preserve"> </w:t>
      </w:r>
      <w:r w:rsidR="007458D4" w:rsidRPr="00616A77">
        <w:rPr>
          <w:rFonts w:ascii="Times New Roman" w:hAnsi="Times New Roman" w:cs="Times New Roman"/>
          <w:bCs/>
          <w:sz w:val="24"/>
          <w:szCs w:val="24"/>
        </w:rPr>
        <w:t>used</w:t>
      </w:r>
      <w:r w:rsidRPr="00616A77">
        <w:rPr>
          <w:rFonts w:ascii="Times New Roman" w:hAnsi="Times New Roman" w:cs="Times New Roman"/>
          <w:bCs/>
          <w:sz w:val="24"/>
          <w:szCs w:val="24"/>
        </w:rPr>
        <w:t xml:space="preserve"> for calculating ATC or AFC for ATC Path</w:t>
      </w:r>
      <w:r w:rsidR="005810E2" w:rsidRPr="00616A77">
        <w:rPr>
          <w:rFonts w:ascii="Times New Roman" w:hAnsi="Times New Roman" w:cs="Times New Roman"/>
          <w:bCs/>
          <w:sz w:val="24"/>
          <w:szCs w:val="24"/>
        </w:rPr>
        <w:t>s</w:t>
      </w:r>
      <w:r w:rsidR="007458D4" w:rsidRPr="00616A77">
        <w:rPr>
          <w:rFonts w:ascii="Times New Roman" w:hAnsi="Times New Roman" w:cs="Times New Roman"/>
          <w:bCs/>
          <w:sz w:val="24"/>
          <w:szCs w:val="24"/>
        </w:rPr>
        <w:t>,</w:t>
      </w:r>
      <w:r w:rsidRPr="00616A77">
        <w:rPr>
          <w:rFonts w:ascii="Times New Roman" w:hAnsi="Times New Roman" w:cs="Times New Roman"/>
          <w:bCs/>
          <w:sz w:val="24"/>
          <w:szCs w:val="24"/>
        </w:rPr>
        <w:t xml:space="preserve"> per time period identified in R2</w:t>
      </w:r>
      <w:r w:rsidR="007458D4" w:rsidRPr="00616A77">
        <w:rPr>
          <w:rFonts w:ascii="Times New Roman" w:hAnsi="Times New Roman" w:cs="Times New Roman"/>
          <w:bCs/>
          <w:sz w:val="24"/>
          <w:szCs w:val="24"/>
        </w:rPr>
        <w:t>,</w:t>
      </w:r>
      <w:r w:rsidRPr="00616A77">
        <w:rPr>
          <w:rFonts w:ascii="Times New Roman" w:hAnsi="Times New Roman" w:cs="Times New Roman"/>
          <w:bCs/>
          <w:sz w:val="24"/>
          <w:szCs w:val="24"/>
        </w:rPr>
        <w:t xml:space="preserve"> for those Facilities within your Transmission operating area.</w:t>
      </w:r>
    </w:p>
    <w:p w:rsidR="003C7E43" w:rsidRPr="009C039C" w:rsidRDefault="003C7E43" w:rsidP="003C7E43">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3C7E43" w:rsidRPr="009C039C" w:rsidRDefault="003C7E43" w:rsidP="003C7E43">
      <w:pPr>
        <w:widowControl w:val="0"/>
        <w:tabs>
          <w:tab w:val="left" w:pos="720"/>
        </w:tabs>
        <w:spacing w:line="186" w:lineRule="exact"/>
        <w:ind w:left="720"/>
        <w:rPr>
          <w:rFonts w:ascii="Times New Roman" w:hAnsi="Times New Roman" w:cs="Times New Roman"/>
          <w:sz w:val="24"/>
          <w:szCs w:val="24"/>
        </w:rPr>
      </w:pPr>
    </w:p>
    <w:p w:rsidR="003C7E43" w:rsidRPr="009C039C" w:rsidRDefault="003C7E43" w:rsidP="003C7E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3C7E43" w:rsidRPr="009C039C" w:rsidRDefault="003C7E43" w:rsidP="003C7E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3C7E43" w:rsidRDefault="003C7E43" w:rsidP="002D1C0A">
      <w:pPr>
        <w:pStyle w:val="Requirement"/>
        <w:numPr>
          <w:ilvl w:val="0"/>
          <w:numId w:val="0"/>
        </w:numPr>
        <w:tabs>
          <w:tab w:val="left" w:pos="2592"/>
        </w:tabs>
        <w:ind w:left="720" w:hanging="720"/>
      </w:pPr>
    </w:p>
    <w:p w:rsidR="0065170E" w:rsidRPr="00A465E4" w:rsidRDefault="0065170E" w:rsidP="00E26A92">
      <w:pPr>
        <w:pStyle w:val="Heading1"/>
        <w:rPr>
          <w:sz w:val="32"/>
          <w:szCs w:val="32"/>
        </w:rPr>
      </w:pPr>
      <w:r w:rsidRPr="00A465E4">
        <w:rPr>
          <w:sz w:val="32"/>
          <w:szCs w:val="32"/>
        </w:rPr>
        <w:t>R1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76"/>
        <w:gridCol w:w="6615"/>
        <w:gridCol w:w="1588"/>
        <w:gridCol w:w="317"/>
        <w:gridCol w:w="1200"/>
      </w:tblGrid>
      <w:tr w:rsidR="0065170E" w:rsidTr="009D005B">
        <w:trPr>
          <w:gridAfter w:val="1"/>
          <w:wAfter w:w="1200" w:type="dxa"/>
          <w:trHeight w:val="1018"/>
        </w:trPr>
        <w:tc>
          <w:tcPr>
            <w:tcW w:w="1076"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520"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9D005B">
        <w:trPr>
          <w:trHeight w:val="302"/>
        </w:trPr>
        <w:tc>
          <w:tcPr>
            <w:tcW w:w="7691"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588"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17"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9D005B">
        <w:trPr>
          <w:trHeight w:val="323"/>
        </w:trPr>
        <w:tc>
          <w:tcPr>
            <w:tcW w:w="7691"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23"/>
        </w:trPr>
        <w:tc>
          <w:tcPr>
            <w:tcW w:w="7691"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23"/>
        </w:trPr>
        <w:tc>
          <w:tcPr>
            <w:tcW w:w="7691"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23"/>
        </w:trPr>
        <w:tc>
          <w:tcPr>
            <w:tcW w:w="7691"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588"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23"/>
        </w:trPr>
        <w:tc>
          <w:tcPr>
            <w:tcW w:w="7691"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02"/>
        </w:trPr>
        <w:tc>
          <w:tcPr>
            <w:tcW w:w="7691"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9D005B">
        <w:trPr>
          <w:trHeight w:val="302"/>
        </w:trPr>
        <w:tc>
          <w:tcPr>
            <w:tcW w:w="7691"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88"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17"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MOD-001</w:t>
      </w:r>
      <w:r w:rsidR="001D0C8A">
        <w:rPr>
          <w:rFonts w:ascii="Times New Roman" w:hAnsi="Times New Roman" w:cs="Times New Roman"/>
          <w:b/>
          <w:bCs/>
          <w:color w:val="264D74"/>
          <w:sz w:val="24"/>
          <w:szCs w:val="24"/>
        </w:rPr>
        <w:t>-1</w:t>
      </w:r>
      <w:r w:rsidR="00AB131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5810E2" w:rsidRDefault="00001BFE" w:rsidP="003C7E43">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3C7E43">
        <w:rPr>
          <w:rFonts w:ascii="Times New Roman" w:hAnsi="Times New Roman" w:cs="Times New Roman"/>
          <w:color w:val="365F91"/>
          <w:sz w:val="24"/>
          <w:szCs w:val="24"/>
        </w:rPr>
        <w:t>Verify the</w:t>
      </w:r>
      <w:r w:rsidR="003C7E43" w:rsidRPr="003C7E43">
        <w:rPr>
          <w:rFonts w:ascii="Times New Roman" w:hAnsi="Times New Roman" w:cs="Times New Roman"/>
          <w:color w:val="365F91"/>
          <w:sz w:val="24"/>
          <w:szCs w:val="24"/>
        </w:rPr>
        <w:t xml:space="preserve"> T</w:t>
      </w:r>
      <w:r w:rsidR="003C7E43">
        <w:rPr>
          <w:rFonts w:ascii="Times New Roman" w:hAnsi="Times New Roman" w:cs="Times New Roman"/>
          <w:color w:val="365F91"/>
          <w:sz w:val="24"/>
          <w:szCs w:val="24"/>
        </w:rPr>
        <w:t>OP</w:t>
      </w:r>
      <w:r w:rsidR="003C7E43" w:rsidRPr="003C7E43">
        <w:rPr>
          <w:rFonts w:ascii="Times New Roman" w:hAnsi="Times New Roman" w:cs="Times New Roman"/>
          <w:color w:val="365F91"/>
          <w:sz w:val="24"/>
          <w:szCs w:val="24"/>
        </w:rPr>
        <w:t xml:space="preserve"> select</w:t>
      </w:r>
      <w:r w:rsidR="003C7E43">
        <w:rPr>
          <w:rFonts w:ascii="Times New Roman" w:hAnsi="Times New Roman" w:cs="Times New Roman"/>
          <w:color w:val="365F91"/>
          <w:sz w:val="24"/>
          <w:szCs w:val="24"/>
        </w:rPr>
        <w:t>ed</w:t>
      </w:r>
      <w:r w:rsidR="003C7E43" w:rsidRPr="003C7E43">
        <w:rPr>
          <w:rFonts w:ascii="Times New Roman" w:hAnsi="Times New Roman" w:cs="Times New Roman"/>
          <w:color w:val="365F91"/>
          <w:sz w:val="24"/>
          <w:szCs w:val="24"/>
        </w:rPr>
        <w:t xml:space="preserve"> one of the methodologies listed </w:t>
      </w:r>
      <w:r w:rsidR="005810E2">
        <w:rPr>
          <w:rFonts w:ascii="Times New Roman" w:hAnsi="Times New Roman" w:cs="Times New Roman"/>
          <w:color w:val="365F91"/>
          <w:sz w:val="24"/>
          <w:szCs w:val="24"/>
        </w:rPr>
        <w:t>in R1</w:t>
      </w:r>
      <w:r w:rsidR="003C7E43" w:rsidRPr="003C7E43">
        <w:rPr>
          <w:rFonts w:ascii="Times New Roman" w:hAnsi="Times New Roman" w:cs="Times New Roman"/>
          <w:color w:val="365F91"/>
          <w:sz w:val="24"/>
          <w:szCs w:val="24"/>
        </w:rPr>
        <w:t xml:space="preserve"> calculating ATC or AFC for each ATC Path per time period identified in R2 for those Facilities within it</w:t>
      </w:r>
      <w:r w:rsidR="003C7E43">
        <w:rPr>
          <w:rFonts w:ascii="Times New Roman" w:hAnsi="Times New Roman" w:cs="Times New Roman"/>
          <w:color w:val="365F91"/>
          <w:sz w:val="24"/>
          <w:szCs w:val="24"/>
        </w:rPr>
        <w:t xml:space="preserve">s Transmission operating area; </w:t>
      </w:r>
    </w:p>
    <w:p w:rsidR="005810E2" w:rsidRDefault="005810E2" w:rsidP="003C7E43">
      <w:pPr>
        <w:ind w:left="1530" w:hanging="1174"/>
        <w:rPr>
          <w:rFonts w:ascii="Times New Roman" w:hAnsi="Times New Roman" w:cs="Times New Roman"/>
          <w:color w:val="365F91"/>
          <w:sz w:val="24"/>
          <w:szCs w:val="24"/>
        </w:rPr>
      </w:pPr>
    </w:p>
    <w:p w:rsidR="005810E2" w:rsidRDefault="005810E2" w:rsidP="005810E2">
      <w:pPr>
        <w:ind w:left="1530" w:hanging="1173"/>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u w:val="single"/>
        </w:rPr>
        <w:t xml:space="preserve">        </w:t>
      </w:r>
      <w:r w:rsidRPr="005810E2">
        <w:rPr>
          <w:rFonts w:ascii="Times New Roman" w:hAnsi="Times New Roman" w:cs="Times New Roman"/>
          <w:color w:val="365F91"/>
          <w:sz w:val="24"/>
          <w:szCs w:val="24"/>
        </w:rPr>
        <w:t>T</w:t>
      </w:r>
      <w:r w:rsidR="003C7E43" w:rsidRPr="003C7E43">
        <w:rPr>
          <w:rFonts w:ascii="Times New Roman" w:hAnsi="Times New Roman" w:cs="Times New Roman"/>
          <w:color w:val="365F91"/>
          <w:sz w:val="24"/>
          <w:szCs w:val="24"/>
        </w:rPr>
        <w:t>he Area Interchange Methodology, as described in MOD-028</w:t>
      </w:r>
      <w:r w:rsidR="003C7E43">
        <w:rPr>
          <w:rFonts w:ascii="Times New Roman" w:hAnsi="Times New Roman" w:cs="Times New Roman"/>
          <w:color w:val="365F91"/>
          <w:sz w:val="24"/>
          <w:szCs w:val="24"/>
        </w:rPr>
        <w:t xml:space="preserve">, </w:t>
      </w:r>
    </w:p>
    <w:p w:rsidR="005810E2" w:rsidRDefault="005810E2" w:rsidP="005810E2">
      <w:pPr>
        <w:ind w:left="1530" w:hanging="1173"/>
        <w:rPr>
          <w:rFonts w:ascii="Times New Roman" w:hAnsi="Times New Roman" w:cs="Times New Roman"/>
          <w:color w:val="365F91"/>
          <w:sz w:val="24"/>
          <w:szCs w:val="24"/>
        </w:rPr>
      </w:pPr>
    </w:p>
    <w:p w:rsidR="005810E2" w:rsidRDefault="005810E2" w:rsidP="005810E2">
      <w:pPr>
        <w:ind w:left="1530" w:hanging="1173"/>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u w:val="single"/>
        </w:rPr>
        <w:t xml:space="preserve">         </w:t>
      </w:r>
      <w:r>
        <w:rPr>
          <w:rFonts w:ascii="Times New Roman" w:hAnsi="Times New Roman" w:cs="Times New Roman"/>
          <w:color w:val="365F91"/>
          <w:sz w:val="24"/>
          <w:szCs w:val="24"/>
        </w:rPr>
        <w:t>T</w:t>
      </w:r>
      <w:r w:rsidR="003C7E43" w:rsidRPr="003C7E43">
        <w:rPr>
          <w:rFonts w:ascii="Times New Roman" w:hAnsi="Times New Roman" w:cs="Times New Roman"/>
          <w:color w:val="365F91"/>
          <w:sz w:val="24"/>
          <w:szCs w:val="24"/>
        </w:rPr>
        <w:t>he Rated System Path Methodology, as described in MOD-029</w:t>
      </w:r>
      <w:r>
        <w:rPr>
          <w:rFonts w:ascii="Times New Roman" w:hAnsi="Times New Roman" w:cs="Times New Roman"/>
          <w:color w:val="365F91"/>
          <w:sz w:val="24"/>
          <w:szCs w:val="24"/>
        </w:rPr>
        <w:t>,</w:t>
      </w:r>
    </w:p>
    <w:p w:rsidR="005810E2" w:rsidRDefault="005810E2" w:rsidP="005810E2">
      <w:pPr>
        <w:ind w:left="1530" w:hanging="1173"/>
        <w:rPr>
          <w:rFonts w:ascii="Times New Roman" w:hAnsi="Times New Roman" w:cs="Times New Roman"/>
          <w:color w:val="365F91"/>
          <w:sz w:val="24"/>
          <w:szCs w:val="24"/>
        </w:rPr>
      </w:pPr>
    </w:p>
    <w:p w:rsidR="003C7E43" w:rsidRPr="003C7E43" w:rsidRDefault="005810E2" w:rsidP="005810E2">
      <w:pPr>
        <w:ind w:left="1530" w:hanging="1173"/>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u w:val="single"/>
        </w:rPr>
        <w:t xml:space="preserve">         </w:t>
      </w:r>
      <w:r>
        <w:rPr>
          <w:rFonts w:ascii="Times New Roman" w:hAnsi="Times New Roman" w:cs="Times New Roman"/>
          <w:color w:val="365F91"/>
          <w:sz w:val="24"/>
          <w:szCs w:val="24"/>
        </w:rPr>
        <w:t>T</w:t>
      </w:r>
      <w:r w:rsidR="003C7E43" w:rsidRPr="003C7E43">
        <w:rPr>
          <w:rFonts w:ascii="Times New Roman" w:hAnsi="Times New Roman" w:cs="Times New Roman"/>
          <w:color w:val="365F91"/>
          <w:sz w:val="24"/>
          <w:szCs w:val="24"/>
        </w:rPr>
        <w:t>he Flowgate Methodology, as described in MOD-030</w:t>
      </w:r>
      <w:r w:rsidR="003C7E43">
        <w:rPr>
          <w:rFonts w:ascii="Times New Roman" w:hAnsi="Times New Roman" w:cs="Times New Roman"/>
          <w:color w:val="365F91"/>
          <w:sz w:val="24"/>
          <w:szCs w:val="24"/>
        </w:rPr>
        <w:t>.</w:t>
      </w:r>
    </w:p>
    <w:p w:rsidR="00001BFE" w:rsidRPr="005E50A4" w:rsidRDefault="00001BFE" w:rsidP="00001BFE">
      <w:pPr>
        <w:ind w:left="356"/>
        <w:rPr>
          <w:rFonts w:ascii="Times New Roman" w:hAnsi="Times New Roman" w:cs="Times New Roman"/>
          <w:color w:val="365F91"/>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001BFE" w:rsidRDefault="00001BFE" w:rsidP="00001BFE">
      <w:pPr>
        <w:widowControl w:val="0"/>
        <w:spacing w:line="281" w:lineRule="exact"/>
        <w:rPr>
          <w:rFonts w:ascii="Times New Roman" w:hAnsi="Times New Roman" w:cs="Times New Roman"/>
          <w:sz w:val="24"/>
          <w:szCs w:val="24"/>
        </w:rPr>
      </w:pPr>
    </w:p>
    <w:p w:rsidR="00A465E4" w:rsidRPr="001F467C" w:rsidRDefault="00A465E4" w:rsidP="00001BFE">
      <w:pPr>
        <w:widowControl w:val="0"/>
        <w:spacing w:line="281" w:lineRule="exact"/>
        <w:rPr>
          <w:rFonts w:ascii="Times New Roman" w:hAnsi="Times New Roman" w:cs="Times New Roman"/>
          <w:sz w:val="24"/>
          <w:szCs w:val="24"/>
        </w:rPr>
      </w:pPr>
    </w:p>
    <w:p w:rsidR="00873C3B" w:rsidRDefault="00873C3B" w:rsidP="00873C3B">
      <w:pPr>
        <w:pStyle w:val="Requirement"/>
        <w:tabs>
          <w:tab w:val="clear" w:pos="720"/>
          <w:tab w:val="num" w:pos="1080"/>
          <w:tab w:val="left" w:pos="2592"/>
        </w:tabs>
        <w:ind w:left="1080" w:hanging="540"/>
      </w:pPr>
      <w:r w:rsidRPr="009C72D7">
        <w:t>Each Transmission Service Provider shall calculate ATC or AFC values as listed below using the methodology or methodologies selected by its Transmission Operator(s): [</w:t>
      </w:r>
      <w:r w:rsidRPr="009C72D7">
        <w:rPr>
          <w:i/>
        </w:rPr>
        <w:t>Violation Risk Factor: Lower</w:t>
      </w:r>
      <w:r w:rsidRPr="009C72D7">
        <w:t xml:space="preserve"> [</w:t>
      </w:r>
      <w:r w:rsidRPr="009C72D7">
        <w:rPr>
          <w:i/>
        </w:rPr>
        <w:t>Time Horizon: Operations Planning</w:t>
      </w:r>
      <w:r w:rsidRPr="009C72D7">
        <w:t>]</w:t>
      </w:r>
    </w:p>
    <w:p w:rsidR="00873C3B" w:rsidRDefault="00873C3B" w:rsidP="00873C3B">
      <w:pPr>
        <w:pStyle w:val="Requirement"/>
        <w:numPr>
          <w:ilvl w:val="0"/>
          <w:numId w:val="0"/>
        </w:numPr>
        <w:tabs>
          <w:tab w:val="num" w:pos="1872"/>
          <w:tab w:val="left" w:pos="2592"/>
        </w:tabs>
        <w:ind w:left="1080"/>
      </w:pPr>
      <w:r w:rsidRPr="00873C3B">
        <w:rPr>
          <w:b/>
          <w:sz w:val="22"/>
          <w:szCs w:val="22"/>
        </w:rPr>
        <w:t>R2.1</w:t>
      </w:r>
      <w:r>
        <w:rPr>
          <w:b/>
          <w:sz w:val="22"/>
          <w:szCs w:val="22"/>
        </w:rPr>
        <w:tab/>
      </w:r>
      <w:r>
        <w:t xml:space="preserve"> </w:t>
      </w:r>
      <w:r w:rsidRPr="009C72D7">
        <w:t xml:space="preserve">Hourly values for at least the next 48 hours. </w:t>
      </w:r>
    </w:p>
    <w:p w:rsidR="00873C3B" w:rsidRDefault="00873C3B" w:rsidP="00873C3B">
      <w:pPr>
        <w:pStyle w:val="Requirement"/>
        <w:numPr>
          <w:ilvl w:val="0"/>
          <w:numId w:val="0"/>
        </w:numPr>
        <w:tabs>
          <w:tab w:val="num" w:pos="1872"/>
          <w:tab w:val="left" w:pos="2592"/>
        </w:tabs>
        <w:ind w:left="1080"/>
      </w:pPr>
      <w:r w:rsidRPr="00873C3B">
        <w:rPr>
          <w:b/>
          <w:sz w:val="22"/>
          <w:szCs w:val="22"/>
        </w:rPr>
        <w:t>R2.2</w:t>
      </w:r>
      <w:r>
        <w:rPr>
          <w:b/>
          <w:sz w:val="22"/>
          <w:szCs w:val="22"/>
        </w:rPr>
        <w:tab/>
      </w:r>
      <w:r w:rsidRPr="009C72D7">
        <w:t>Daily values for at least the next 31 calendar days.</w:t>
      </w:r>
    </w:p>
    <w:p w:rsidR="00873C3B" w:rsidRDefault="00873C3B" w:rsidP="00873C3B">
      <w:pPr>
        <w:pStyle w:val="Requirement"/>
        <w:numPr>
          <w:ilvl w:val="0"/>
          <w:numId w:val="0"/>
        </w:numPr>
        <w:tabs>
          <w:tab w:val="num" w:pos="1872"/>
          <w:tab w:val="left" w:pos="2592"/>
        </w:tabs>
        <w:ind w:left="1080"/>
      </w:pPr>
      <w:r w:rsidRPr="00873C3B">
        <w:rPr>
          <w:b/>
          <w:sz w:val="22"/>
          <w:szCs w:val="22"/>
        </w:rPr>
        <w:t>R2.3</w:t>
      </w:r>
      <w:r>
        <w:rPr>
          <w:b/>
          <w:sz w:val="22"/>
          <w:szCs w:val="22"/>
        </w:rPr>
        <w:tab/>
      </w:r>
      <w:r w:rsidRPr="009C72D7">
        <w:t xml:space="preserve">Monthly values for at least the next 12 months (months 2-13). </w:t>
      </w:r>
    </w:p>
    <w:p w:rsidR="00873C3B" w:rsidRPr="009C72D7" w:rsidRDefault="00873C3B" w:rsidP="00873C3B">
      <w:pPr>
        <w:pStyle w:val="Requirement"/>
        <w:numPr>
          <w:ilvl w:val="0"/>
          <w:numId w:val="0"/>
        </w:numPr>
        <w:tabs>
          <w:tab w:val="num" w:pos="1872"/>
          <w:tab w:val="left" w:pos="2592"/>
        </w:tabs>
        <w:ind w:left="1080"/>
      </w:pPr>
    </w:p>
    <w:p w:rsidR="00DB193C" w:rsidRDefault="00DB193C" w:rsidP="00A465E4">
      <w:pPr>
        <w:widowControl w:val="0"/>
        <w:tabs>
          <w:tab w:val="left" w:pos="0"/>
        </w:tabs>
        <w:spacing w:line="294" w:lineRule="exact"/>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A465E4">
      <w:pPr>
        <w:widowControl w:val="0"/>
        <w:tabs>
          <w:tab w:val="left" w:pos="0"/>
        </w:tabs>
        <w:spacing w:line="294" w:lineRule="exact"/>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A465E4">
      <w:pPr>
        <w:widowControl w:val="0"/>
        <w:tabs>
          <w:tab w:val="left" w:pos="0"/>
        </w:tabs>
        <w:spacing w:line="186" w:lineRule="exact"/>
        <w:rPr>
          <w:rFonts w:ascii="Times New Roman" w:hAnsi="Times New Roman" w:cs="Times New Roman"/>
          <w:sz w:val="24"/>
          <w:szCs w:val="24"/>
        </w:rPr>
      </w:pPr>
    </w:p>
    <w:p w:rsidR="002D1C0A" w:rsidRPr="001F467C" w:rsidRDefault="002D1C0A" w:rsidP="00A465E4">
      <w:pPr>
        <w:widowControl w:val="0"/>
        <w:shd w:val="clear" w:color="auto" w:fill="D3DCE9"/>
        <w:tabs>
          <w:tab w:val="left" w:pos="0"/>
        </w:tabs>
        <w:spacing w:line="294" w:lineRule="exact"/>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A465E4">
      <w:pPr>
        <w:widowControl w:val="0"/>
        <w:shd w:val="clear" w:color="auto" w:fill="D3DCE9"/>
        <w:tabs>
          <w:tab w:val="left" w:pos="0"/>
        </w:tabs>
        <w:spacing w:line="294" w:lineRule="exact"/>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65170E" w:rsidRPr="00A465E4" w:rsidRDefault="0065170E" w:rsidP="00E26A92">
      <w:pPr>
        <w:pStyle w:val="Heading1"/>
        <w:rPr>
          <w:sz w:val="32"/>
          <w:szCs w:val="32"/>
        </w:rPr>
      </w:pPr>
      <w:r w:rsidRPr="00A465E4">
        <w:rPr>
          <w:sz w:val="32"/>
          <w:szCs w:val="32"/>
        </w:rPr>
        <w:t>R2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MOD-001</w:t>
      </w:r>
      <w:r w:rsidR="001D0C8A">
        <w:rPr>
          <w:rFonts w:ascii="Times New Roman" w:hAnsi="Times New Roman" w:cs="Times New Roman"/>
          <w:b/>
          <w:bCs/>
          <w:color w:val="264D74"/>
          <w:sz w:val="24"/>
          <w:szCs w:val="24"/>
        </w:rPr>
        <w:t>-1</w:t>
      </w:r>
      <w:r w:rsidR="00AB131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R2</w:t>
      </w:r>
    </w:p>
    <w:p w:rsidR="005E50A4" w:rsidRPr="007F54A2" w:rsidRDefault="005E50A4" w:rsidP="005E50A4">
      <w:pPr>
        <w:rPr>
          <w:rFonts w:ascii="Times New Roman" w:hAnsi="Times New Roman" w:cs="Times New Roman"/>
          <w:color w:val="365F91"/>
          <w:sz w:val="24"/>
          <w:szCs w:val="24"/>
        </w:rPr>
      </w:pPr>
      <w:r w:rsidRPr="001F467C">
        <w:rPr>
          <w:rFonts w:ascii="Times New Roman" w:hAnsi="Times New Roman" w:cs="Times New Roman"/>
          <w:sz w:val="24"/>
          <w:szCs w:val="24"/>
        </w:rPr>
        <w:t xml:space="preserve"> </w:t>
      </w:r>
    </w:p>
    <w:p w:rsidR="007F54A2" w:rsidRDefault="007F54A2" w:rsidP="005810E2">
      <w:pPr>
        <w:ind w:left="1260" w:hanging="540"/>
        <w:rPr>
          <w:rFonts w:ascii="Times New Roman" w:hAnsi="Times New Roman" w:cs="Times New Roman"/>
          <w:color w:val="365F91"/>
          <w:sz w:val="24"/>
          <w:szCs w:val="24"/>
        </w:rPr>
      </w:pPr>
      <w:r w:rsidRPr="007F54A2">
        <w:rPr>
          <w:rFonts w:ascii="Times New Roman" w:hAnsi="Times New Roman" w:cs="Times New Roman"/>
          <w:color w:val="365F91"/>
          <w:sz w:val="24"/>
          <w:szCs w:val="24"/>
        </w:rPr>
        <w:t>____Verify the TSP calculated ATC or AFC values as listed below using the methodology or methodologies selected by its TOP(s):</w:t>
      </w:r>
    </w:p>
    <w:p w:rsidR="007F54A2" w:rsidRPr="007F54A2" w:rsidRDefault="007F54A2" w:rsidP="007F54A2">
      <w:pPr>
        <w:ind w:left="720"/>
        <w:rPr>
          <w:rFonts w:ascii="Times New Roman" w:hAnsi="Times New Roman" w:cs="Times New Roman"/>
          <w:color w:val="365F91"/>
          <w:sz w:val="24"/>
          <w:szCs w:val="24"/>
        </w:rPr>
      </w:pPr>
    </w:p>
    <w:p w:rsidR="007F54A2" w:rsidRDefault="007F54A2" w:rsidP="007F54A2">
      <w:pPr>
        <w:ind w:left="135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7F54A2">
        <w:rPr>
          <w:rFonts w:ascii="Times New Roman" w:hAnsi="Times New Roman" w:cs="Times New Roman"/>
          <w:color w:val="365F91"/>
          <w:sz w:val="24"/>
          <w:szCs w:val="24"/>
        </w:rPr>
        <w:t xml:space="preserve">Hourly values </w:t>
      </w:r>
      <w:r>
        <w:rPr>
          <w:rFonts w:ascii="Times New Roman" w:hAnsi="Times New Roman" w:cs="Times New Roman"/>
          <w:color w:val="365F91"/>
          <w:sz w:val="24"/>
          <w:szCs w:val="24"/>
        </w:rPr>
        <w:t>for at least the next 48 hours</w:t>
      </w:r>
    </w:p>
    <w:p w:rsidR="007F54A2" w:rsidRPr="007F54A2" w:rsidRDefault="007F54A2" w:rsidP="007F54A2">
      <w:pPr>
        <w:ind w:left="1350"/>
        <w:rPr>
          <w:rFonts w:ascii="Times New Roman" w:hAnsi="Times New Roman" w:cs="Times New Roman"/>
          <w:color w:val="365F91"/>
          <w:sz w:val="24"/>
          <w:szCs w:val="24"/>
        </w:rPr>
      </w:pPr>
    </w:p>
    <w:p w:rsidR="007F54A2" w:rsidRDefault="007F54A2" w:rsidP="007F54A2">
      <w:pPr>
        <w:ind w:left="135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7F54A2">
        <w:rPr>
          <w:rFonts w:ascii="Times New Roman" w:hAnsi="Times New Roman" w:cs="Times New Roman"/>
          <w:color w:val="365F91"/>
          <w:sz w:val="24"/>
          <w:szCs w:val="24"/>
        </w:rPr>
        <w:t xml:space="preserve">Daily values for at </w:t>
      </w:r>
      <w:r>
        <w:rPr>
          <w:rFonts w:ascii="Times New Roman" w:hAnsi="Times New Roman" w:cs="Times New Roman"/>
          <w:color w:val="365F91"/>
          <w:sz w:val="24"/>
          <w:szCs w:val="24"/>
        </w:rPr>
        <w:t>least the next 31 calendar days</w:t>
      </w:r>
    </w:p>
    <w:p w:rsidR="007F54A2" w:rsidRPr="007F54A2" w:rsidRDefault="007F54A2" w:rsidP="007F54A2">
      <w:pPr>
        <w:ind w:left="1350"/>
        <w:rPr>
          <w:rFonts w:ascii="Times New Roman" w:hAnsi="Times New Roman" w:cs="Times New Roman"/>
          <w:color w:val="365F91"/>
          <w:sz w:val="24"/>
          <w:szCs w:val="24"/>
        </w:rPr>
      </w:pPr>
    </w:p>
    <w:p w:rsidR="005E50A4" w:rsidRDefault="007F54A2" w:rsidP="007F54A2">
      <w:pPr>
        <w:ind w:left="135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7F54A2">
        <w:rPr>
          <w:rFonts w:ascii="Times New Roman" w:hAnsi="Times New Roman" w:cs="Times New Roman"/>
          <w:color w:val="365F91"/>
          <w:sz w:val="24"/>
          <w:szCs w:val="24"/>
        </w:rPr>
        <w:tab/>
        <w:t>Monthly values for at least t</w:t>
      </w:r>
      <w:r>
        <w:rPr>
          <w:rFonts w:ascii="Times New Roman" w:hAnsi="Times New Roman" w:cs="Times New Roman"/>
          <w:color w:val="365F91"/>
          <w:sz w:val="24"/>
          <w:szCs w:val="24"/>
        </w:rPr>
        <w:t>he next 12 months (months 2-13)</w:t>
      </w:r>
    </w:p>
    <w:p w:rsidR="007F54A2" w:rsidRPr="007F54A2" w:rsidRDefault="007F54A2" w:rsidP="007F54A2">
      <w:pPr>
        <w:ind w:left="1350"/>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Default="005E50A4" w:rsidP="00883445">
      <w:pPr>
        <w:widowControl w:val="0"/>
        <w:tabs>
          <w:tab w:val="left" w:pos="60"/>
        </w:tabs>
        <w:spacing w:line="284" w:lineRule="exact"/>
        <w:rPr>
          <w:rFonts w:ascii="Times New Roman" w:hAnsi="Times New Roman" w:cs="Times New Roman"/>
          <w:sz w:val="24"/>
          <w:szCs w:val="24"/>
        </w:rPr>
      </w:pPr>
      <w:r w:rsidRPr="001F467C">
        <w:rPr>
          <w:rFonts w:ascii="Times New Roman" w:hAnsi="Times New Roman" w:cs="Times New Roman"/>
          <w:sz w:val="24"/>
          <w:szCs w:val="24"/>
        </w:rPr>
        <w:t xml:space="preserve">  </w:t>
      </w:r>
    </w:p>
    <w:p w:rsidR="00A465E4" w:rsidRPr="001F467C" w:rsidRDefault="00A465E4" w:rsidP="00883445">
      <w:pPr>
        <w:widowControl w:val="0"/>
        <w:tabs>
          <w:tab w:val="left" w:pos="60"/>
        </w:tabs>
        <w:spacing w:line="284" w:lineRule="exact"/>
        <w:rPr>
          <w:rFonts w:ascii="Times New Roman" w:hAnsi="Times New Roman" w:cs="Times New Roman"/>
          <w:sz w:val="24"/>
          <w:szCs w:val="24"/>
        </w:rPr>
      </w:pPr>
    </w:p>
    <w:p w:rsidR="00873C3B" w:rsidRDefault="00873C3B" w:rsidP="00873C3B">
      <w:pPr>
        <w:pStyle w:val="Requirement"/>
        <w:tabs>
          <w:tab w:val="clear" w:pos="720"/>
          <w:tab w:val="clear" w:pos="1116"/>
          <w:tab w:val="clear" w:pos="3240"/>
          <w:tab w:val="left" w:pos="-2880"/>
          <w:tab w:val="num" w:pos="-2340"/>
          <w:tab w:val="left" w:pos="0"/>
          <w:tab w:val="left" w:pos="1080"/>
        </w:tabs>
        <w:ind w:left="1080" w:hanging="540"/>
      </w:pPr>
      <w:r w:rsidRPr="009C72D7">
        <w:t>Each Transmission Service Provider shall prepare and keep current an Available Transfer Capability Implementation Document (ATCID) that includes, at a minimum, the following information: [</w:t>
      </w:r>
      <w:r w:rsidRPr="009C72D7">
        <w:rPr>
          <w:i/>
        </w:rPr>
        <w:t>Violation Risk Factor: Lower</w:t>
      </w:r>
      <w:r w:rsidRPr="009C72D7">
        <w:t>] [</w:t>
      </w:r>
      <w:r w:rsidRPr="009C72D7">
        <w:rPr>
          <w:i/>
        </w:rPr>
        <w:t>Time Horizon: Operations Planning</w:t>
      </w:r>
      <w:r w:rsidRPr="009C72D7">
        <w:t>]</w:t>
      </w:r>
    </w:p>
    <w:p w:rsidR="00CB4216" w:rsidRPr="00CB4216" w:rsidRDefault="00CB4216" w:rsidP="00CB4216">
      <w:pPr>
        <w:pStyle w:val="ListParagraph"/>
        <w:numPr>
          <w:ilvl w:val="0"/>
          <w:numId w:val="18"/>
        </w:numPr>
        <w:tabs>
          <w:tab w:val="left" w:pos="-2880"/>
          <w:tab w:val="left" w:pos="0"/>
        </w:tabs>
        <w:autoSpaceDE/>
        <w:autoSpaceDN/>
        <w:adjustRightInd/>
        <w:spacing w:after="120"/>
        <w:rPr>
          <w:rFonts w:ascii="Times New Roman" w:hAnsi="Times New Roman" w:cs="Times New Roman"/>
          <w:vanish/>
          <w:sz w:val="24"/>
          <w:szCs w:val="24"/>
        </w:rPr>
      </w:pPr>
    </w:p>
    <w:p w:rsidR="00CB4216" w:rsidRPr="00CB4216" w:rsidRDefault="00CB4216" w:rsidP="00CB4216">
      <w:pPr>
        <w:pStyle w:val="ListParagraph"/>
        <w:numPr>
          <w:ilvl w:val="0"/>
          <w:numId w:val="18"/>
        </w:numPr>
        <w:tabs>
          <w:tab w:val="left" w:pos="-2880"/>
          <w:tab w:val="left" w:pos="0"/>
        </w:tabs>
        <w:autoSpaceDE/>
        <w:autoSpaceDN/>
        <w:adjustRightInd/>
        <w:spacing w:after="120"/>
        <w:rPr>
          <w:rFonts w:ascii="Times New Roman" w:hAnsi="Times New Roman" w:cs="Times New Roman"/>
          <w:vanish/>
          <w:sz w:val="24"/>
          <w:szCs w:val="24"/>
        </w:rPr>
      </w:pPr>
    </w:p>
    <w:p w:rsidR="00CB4216" w:rsidRPr="00CB4216" w:rsidRDefault="00CB4216" w:rsidP="00CB4216">
      <w:pPr>
        <w:pStyle w:val="ListParagraph"/>
        <w:numPr>
          <w:ilvl w:val="0"/>
          <w:numId w:val="18"/>
        </w:numPr>
        <w:tabs>
          <w:tab w:val="left" w:pos="-2880"/>
          <w:tab w:val="left" w:pos="0"/>
        </w:tabs>
        <w:autoSpaceDE/>
        <w:autoSpaceDN/>
        <w:adjustRightInd/>
        <w:spacing w:after="120"/>
        <w:rPr>
          <w:rFonts w:ascii="Times New Roman" w:hAnsi="Times New Roman" w:cs="Times New Roman"/>
          <w:vanish/>
          <w:sz w:val="24"/>
          <w:szCs w:val="24"/>
        </w:rPr>
      </w:pPr>
    </w:p>
    <w:p w:rsidR="00873C3B" w:rsidRDefault="00873C3B" w:rsidP="00CB4216">
      <w:pPr>
        <w:pStyle w:val="Requirement"/>
        <w:numPr>
          <w:ilvl w:val="1"/>
          <w:numId w:val="18"/>
        </w:numPr>
        <w:tabs>
          <w:tab w:val="clear" w:pos="1726"/>
          <w:tab w:val="clear" w:pos="3240"/>
          <w:tab w:val="left" w:pos="-2880"/>
          <w:tab w:val="left" w:pos="0"/>
          <w:tab w:val="left" w:pos="1080"/>
        </w:tabs>
      </w:pPr>
      <w:r w:rsidRPr="009C72D7">
        <w:t>Information describing how the selected methodology (or methodologies) has been implemented, in such detail that, given the same information used by the Transmission Service Provider, the results of the ATC or AFC calculations can be validated.</w:t>
      </w:r>
    </w:p>
    <w:p w:rsidR="00873C3B" w:rsidRDefault="00873C3B" w:rsidP="00873C3B">
      <w:pPr>
        <w:pStyle w:val="Requirement"/>
        <w:numPr>
          <w:ilvl w:val="1"/>
          <w:numId w:val="18"/>
        </w:numPr>
        <w:tabs>
          <w:tab w:val="clear" w:pos="1726"/>
          <w:tab w:val="clear" w:pos="3240"/>
          <w:tab w:val="left" w:pos="-2880"/>
          <w:tab w:val="left" w:pos="0"/>
          <w:tab w:val="left" w:pos="1080"/>
        </w:tabs>
      </w:pPr>
      <w:r w:rsidRPr="009C72D7">
        <w:t>A description of the manner in which the Transmission Service Provider will account for counterflows including:</w:t>
      </w:r>
    </w:p>
    <w:p w:rsidR="00873C3B" w:rsidRDefault="00873C3B" w:rsidP="002A154C">
      <w:pPr>
        <w:pStyle w:val="Requirement"/>
        <w:numPr>
          <w:ilvl w:val="3"/>
          <w:numId w:val="18"/>
        </w:numPr>
        <w:tabs>
          <w:tab w:val="clear" w:pos="2158"/>
          <w:tab w:val="clear" w:pos="3240"/>
          <w:tab w:val="left" w:pos="-2880"/>
          <w:tab w:val="left" w:pos="0"/>
          <w:tab w:val="left" w:pos="1080"/>
        </w:tabs>
      </w:pPr>
      <w:r w:rsidRPr="009C72D7">
        <w:t>How confirmed Transmission reservations, expected Interchange and internal counterflow are addressed in firm and non-firm ATC or AFC calculations.</w:t>
      </w:r>
    </w:p>
    <w:p w:rsidR="00873C3B" w:rsidRPr="009C72D7" w:rsidRDefault="00873C3B" w:rsidP="002A154C">
      <w:pPr>
        <w:pStyle w:val="Requirement"/>
        <w:numPr>
          <w:ilvl w:val="3"/>
          <w:numId w:val="18"/>
        </w:numPr>
        <w:tabs>
          <w:tab w:val="clear" w:pos="2158"/>
          <w:tab w:val="clear" w:pos="3240"/>
          <w:tab w:val="left" w:pos="-2880"/>
          <w:tab w:val="left" w:pos="0"/>
          <w:tab w:val="left" w:pos="1080"/>
        </w:tabs>
      </w:pPr>
      <w:r w:rsidRPr="009C72D7">
        <w:t xml:space="preserve">A rationale for that accounting specified in R3.2.   </w:t>
      </w:r>
    </w:p>
    <w:p w:rsidR="00873C3B" w:rsidRPr="009C72D7" w:rsidRDefault="00873C3B" w:rsidP="00873C3B">
      <w:pPr>
        <w:pStyle w:val="Requirement"/>
        <w:numPr>
          <w:ilvl w:val="1"/>
          <w:numId w:val="18"/>
        </w:numPr>
        <w:tabs>
          <w:tab w:val="clear" w:pos="1726"/>
          <w:tab w:val="clear" w:pos="3240"/>
          <w:tab w:val="left" w:pos="-2880"/>
          <w:tab w:val="left" w:pos="0"/>
          <w:tab w:val="left" w:pos="1080"/>
        </w:tabs>
      </w:pPr>
      <w:r w:rsidRPr="009C72D7">
        <w:t>The identity of the Transmission Operators  and Transmission Service Providers from which the Transmission Service Provider receives data for use in calculating ATC or AFC.</w:t>
      </w:r>
    </w:p>
    <w:p w:rsidR="00873C3B" w:rsidRPr="009C72D7" w:rsidRDefault="00873C3B" w:rsidP="00873C3B">
      <w:pPr>
        <w:pStyle w:val="Requirement"/>
        <w:numPr>
          <w:ilvl w:val="1"/>
          <w:numId w:val="18"/>
        </w:numPr>
        <w:tabs>
          <w:tab w:val="clear" w:pos="1726"/>
          <w:tab w:val="clear" w:pos="3240"/>
          <w:tab w:val="left" w:pos="-2880"/>
          <w:tab w:val="left" w:pos="0"/>
          <w:tab w:val="left" w:pos="1080"/>
        </w:tabs>
      </w:pPr>
      <w:r w:rsidRPr="009C72D7">
        <w:t>The identity of the Transmission Service Providers and Transmission Operators to which it provides data for use in calculating transfer or Flowgate capability.</w:t>
      </w:r>
    </w:p>
    <w:p w:rsidR="00873C3B" w:rsidRPr="009C72D7" w:rsidRDefault="00873C3B" w:rsidP="00873C3B">
      <w:pPr>
        <w:pStyle w:val="Requirement"/>
        <w:numPr>
          <w:ilvl w:val="1"/>
          <w:numId w:val="18"/>
        </w:numPr>
        <w:tabs>
          <w:tab w:val="clear" w:pos="1726"/>
          <w:tab w:val="clear" w:pos="3240"/>
          <w:tab w:val="left" w:pos="-2880"/>
          <w:tab w:val="left" w:pos="0"/>
          <w:tab w:val="left" w:pos="1080"/>
        </w:tabs>
      </w:pPr>
      <w:r w:rsidRPr="009C72D7">
        <w:t>A description of the allocation processes listed below that are applicable to the Transmission Service Provider:</w:t>
      </w:r>
    </w:p>
    <w:p w:rsidR="00873C3B" w:rsidRPr="009C72D7" w:rsidRDefault="00873C3B" w:rsidP="00873C3B">
      <w:pPr>
        <w:pStyle w:val="Requirement"/>
        <w:numPr>
          <w:ilvl w:val="2"/>
          <w:numId w:val="18"/>
        </w:numPr>
        <w:tabs>
          <w:tab w:val="clear" w:pos="1726"/>
          <w:tab w:val="left" w:pos="2592"/>
        </w:tabs>
      </w:pPr>
      <w:r w:rsidRPr="009C72D7">
        <w:t>Processes used to allocate transfer or Flowgate capability among multiple lines or sub-paths within a larger ATC Path or Flowgate.</w:t>
      </w:r>
    </w:p>
    <w:p w:rsidR="00873C3B" w:rsidRPr="009C72D7" w:rsidRDefault="00873C3B" w:rsidP="00873C3B">
      <w:pPr>
        <w:pStyle w:val="Requirement"/>
        <w:numPr>
          <w:ilvl w:val="2"/>
          <w:numId w:val="18"/>
        </w:numPr>
        <w:tabs>
          <w:tab w:val="clear" w:pos="1726"/>
          <w:tab w:val="left" w:pos="2592"/>
        </w:tabs>
      </w:pPr>
      <w:r w:rsidRPr="009C72D7">
        <w:t>Processes used to allocate transfer or Flowgate capabilities among multiple owners or users of an ATC Path or Flowgate.</w:t>
      </w:r>
    </w:p>
    <w:p w:rsidR="00873C3B" w:rsidRPr="009C72D7" w:rsidRDefault="00873C3B" w:rsidP="00873C3B">
      <w:pPr>
        <w:pStyle w:val="Requirement"/>
        <w:numPr>
          <w:ilvl w:val="2"/>
          <w:numId w:val="18"/>
        </w:numPr>
        <w:tabs>
          <w:tab w:val="clear" w:pos="1726"/>
          <w:tab w:val="left" w:pos="2592"/>
        </w:tabs>
      </w:pPr>
      <w:r w:rsidRPr="009C72D7">
        <w:t xml:space="preserve">Processes used to allocate transfer or Flowgate capabilities between Transmission Service Providers to address issues such as forward looking congestion management and seams coordination. </w:t>
      </w:r>
    </w:p>
    <w:p w:rsidR="00873C3B" w:rsidRDefault="00873C3B" w:rsidP="00873C3B">
      <w:pPr>
        <w:pStyle w:val="Requirement"/>
        <w:numPr>
          <w:ilvl w:val="1"/>
          <w:numId w:val="18"/>
        </w:numPr>
        <w:tabs>
          <w:tab w:val="clear" w:pos="1726"/>
          <w:tab w:val="clear" w:pos="3240"/>
          <w:tab w:val="left" w:pos="-2880"/>
          <w:tab w:val="left" w:pos="0"/>
          <w:tab w:val="left" w:pos="1080"/>
        </w:tabs>
      </w:pPr>
      <w:r w:rsidRPr="009C72D7">
        <w:t>A description of how generation and transmission outages are considered in transfer or Flowgate capability calculations, including:</w:t>
      </w:r>
    </w:p>
    <w:p w:rsidR="00873C3B" w:rsidRDefault="00873C3B" w:rsidP="002A154C">
      <w:pPr>
        <w:pStyle w:val="Requirement"/>
        <w:numPr>
          <w:ilvl w:val="3"/>
          <w:numId w:val="18"/>
        </w:numPr>
        <w:tabs>
          <w:tab w:val="clear" w:pos="2158"/>
          <w:tab w:val="clear" w:pos="3024"/>
          <w:tab w:val="clear" w:pos="3240"/>
          <w:tab w:val="left" w:pos="-2880"/>
          <w:tab w:val="left" w:pos="0"/>
          <w:tab w:val="left" w:pos="1080"/>
          <w:tab w:val="num" w:pos="3060"/>
        </w:tabs>
        <w:ind w:left="3150" w:hanging="846"/>
      </w:pPr>
      <w:r w:rsidRPr="009C72D7">
        <w:t>The criteria used to determine when an outage that is in effect part of a day impacts a daily calculation.</w:t>
      </w:r>
    </w:p>
    <w:p w:rsidR="00873C3B" w:rsidRDefault="00873C3B" w:rsidP="002A154C">
      <w:pPr>
        <w:pStyle w:val="Requirement"/>
        <w:numPr>
          <w:ilvl w:val="3"/>
          <w:numId w:val="18"/>
        </w:numPr>
        <w:tabs>
          <w:tab w:val="clear" w:pos="2158"/>
          <w:tab w:val="clear" w:pos="3024"/>
          <w:tab w:val="clear" w:pos="3240"/>
          <w:tab w:val="left" w:pos="-2880"/>
          <w:tab w:val="left" w:pos="0"/>
          <w:tab w:val="left" w:pos="1080"/>
          <w:tab w:val="num" w:pos="3150"/>
        </w:tabs>
        <w:ind w:left="3150" w:hanging="846"/>
      </w:pPr>
      <w:r w:rsidRPr="009C72D7">
        <w:t>The criteria used to determine when an outage that is in effect part of a month impacts a monthly calculation.</w:t>
      </w:r>
    </w:p>
    <w:p w:rsidR="00873C3B" w:rsidRPr="009C72D7" w:rsidRDefault="00873C3B" w:rsidP="002A6542">
      <w:pPr>
        <w:pStyle w:val="Requirement"/>
        <w:numPr>
          <w:ilvl w:val="3"/>
          <w:numId w:val="18"/>
        </w:numPr>
        <w:tabs>
          <w:tab w:val="clear" w:pos="2158"/>
          <w:tab w:val="clear" w:pos="3024"/>
          <w:tab w:val="clear" w:pos="3240"/>
          <w:tab w:val="left" w:pos="-2880"/>
          <w:tab w:val="left" w:pos="0"/>
          <w:tab w:val="left" w:pos="1080"/>
          <w:tab w:val="num" w:pos="3060"/>
        </w:tabs>
        <w:ind w:left="3060" w:hanging="756"/>
      </w:pPr>
      <w:r w:rsidRPr="009C72D7">
        <w:t xml:space="preserve">How outages from other Transmission Service Providers that cannot be mapped to the Transmission model used to calculate transfer or Flowgate capability are addressed. </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Pr="001F467C" w:rsidRDefault="002D1C0A" w:rsidP="002D1C0A">
      <w:pPr>
        <w:pStyle w:val="Requirement"/>
        <w:numPr>
          <w:ilvl w:val="0"/>
          <w:numId w:val="0"/>
        </w:numPr>
        <w:tabs>
          <w:tab w:val="left" w:pos="2592"/>
        </w:tabs>
        <w:ind w:left="360"/>
      </w:pPr>
    </w:p>
    <w:p w:rsidR="0065170E" w:rsidRPr="00A465E4" w:rsidRDefault="0065170E" w:rsidP="00E26A92">
      <w:pPr>
        <w:pStyle w:val="Heading1"/>
        <w:rPr>
          <w:sz w:val="32"/>
          <w:szCs w:val="32"/>
        </w:rPr>
      </w:pPr>
      <w:r w:rsidRPr="00A465E4">
        <w:rPr>
          <w:sz w:val="32"/>
          <w:szCs w:val="32"/>
        </w:rPr>
        <w:t>R3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5E50A4" w:rsidRDefault="005E50A4"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8E7CBF">
        <w:rPr>
          <w:rFonts w:ascii="Times New Roman" w:hAnsi="Times New Roman" w:cs="Times New Roman"/>
          <w:b/>
          <w:bCs/>
          <w:color w:val="003366"/>
          <w:sz w:val="24"/>
          <w:szCs w:val="24"/>
        </w:rPr>
        <w:t>MOD-001</w:t>
      </w:r>
      <w:r w:rsidR="001D0C8A">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R3</w:t>
      </w:r>
    </w:p>
    <w:p w:rsidR="005E50A4" w:rsidRPr="001F467C" w:rsidRDefault="005E50A4" w:rsidP="005E50A4">
      <w:pPr>
        <w:rPr>
          <w:rFonts w:ascii="Times New Roman" w:hAnsi="Times New Roman" w:cs="Times New Roman"/>
          <w:sz w:val="24"/>
          <w:szCs w:val="24"/>
        </w:rPr>
      </w:pPr>
    </w:p>
    <w:p w:rsidR="003D1934" w:rsidRDefault="005E50A4" w:rsidP="003D1934">
      <w:pPr>
        <w:widowControl w:val="0"/>
        <w:tabs>
          <w:tab w:val="left" w:pos="1080"/>
        </w:tabs>
        <w:spacing w:line="284" w:lineRule="exact"/>
        <w:ind w:left="1620" w:hanging="162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003D1934">
        <w:rPr>
          <w:rFonts w:ascii="Times New Roman" w:hAnsi="Times New Roman" w:cs="Times New Roman"/>
          <w:color w:val="365F91"/>
          <w:sz w:val="24"/>
          <w:szCs w:val="24"/>
        </w:rPr>
        <w:tab/>
        <w:t>____ Verify the</w:t>
      </w:r>
      <w:r w:rsidR="003D1934" w:rsidRPr="003D1934">
        <w:rPr>
          <w:rFonts w:ascii="Times New Roman" w:hAnsi="Times New Roman" w:cs="Times New Roman"/>
          <w:color w:val="365F91"/>
          <w:sz w:val="24"/>
          <w:szCs w:val="24"/>
        </w:rPr>
        <w:t xml:space="preserve"> T</w:t>
      </w:r>
      <w:r w:rsidR="003D1934">
        <w:rPr>
          <w:rFonts w:ascii="Times New Roman" w:hAnsi="Times New Roman" w:cs="Times New Roman"/>
          <w:color w:val="365F91"/>
          <w:sz w:val="24"/>
          <w:szCs w:val="24"/>
        </w:rPr>
        <w:t>SP</w:t>
      </w:r>
      <w:r w:rsidR="003D1934" w:rsidRPr="003D1934">
        <w:rPr>
          <w:rFonts w:ascii="Times New Roman" w:hAnsi="Times New Roman" w:cs="Times New Roman"/>
          <w:color w:val="365F91"/>
          <w:sz w:val="24"/>
          <w:szCs w:val="24"/>
        </w:rPr>
        <w:t xml:space="preserve"> prepare</w:t>
      </w:r>
      <w:r w:rsidR="003D1934">
        <w:rPr>
          <w:rFonts w:ascii="Times New Roman" w:hAnsi="Times New Roman" w:cs="Times New Roman"/>
          <w:color w:val="365F91"/>
          <w:sz w:val="24"/>
          <w:szCs w:val="24"/>
        </w:rPr>
        <w:t>d and ke</w:t>
      </w:r>
      <w:r w:rsidR="003D1934" w:rsidRPr="003D1934">
        <w:rPr>
          <w:rFonts w:ascii="Times New Roman" w:hAnsi="Times New Roman" w:cs="Times New Roman"/>
          <w:color w:val="365F91"/>
          <w:sz w:val="24"/>
          <w:szCs w:val="24"/>
        </w:rPr>
        <w:t>p</w:t>
      </w:r>
      <w:r w:rsidR="003D1934">
        <w:rPr>
          <w:rFonts w:ascii="Times New Roman" w:hAnsi="Times New Roman" w:cs="Times New Roman"/>
          <w:color w:val="365F91"/>
          <w:sz w:val="24"/>
          <w:szCs w:val="24"/>
        </w:rPr>
        <w:t>t</w:t>
      </w:r>
      <w:r w:rsidR="003D1934" w:rsidRPr="003D1934">
        <w:rPr>
          <w:rFonts w:ascii="Times New Roman" w:hAnsi="Times New Roman" w:cs="Times New Roman"/>
          <w:color w:val="365F91"/>
          <w:sz w:val="24"/>
          <w:szCs w:val="24"/>
        </w:rPr>
        <w:t xml:space="preserve"> current an A</w:t>
      </w:r>
      <w:r w:rsidR="003D1934">
        <w:rPr>
          <w:rFonts w:ascii="Times New Roman" w:hAnsi="Times New Roman" w:cs="Times New Roman"/>
          <w:color w:val="365F91"/>
          <w:sz w:val="24"/>
          <w:szCs w:val="24"/>
        </w:rPr>
        <w:t>TCI</w:t>
      </w:r>
      <w:r w:rsidR="003D1934" w:rsidRPr="003D1934">
        <w:rPr>
          <w:rFonts w:ascii="Times New Roman" w:hAnsi="Times New Roman" w:cs="Times New Roman"/>
          <w:color w:val="365F91"/>
          <w:sz w:val="24"/>
          <w:szCs w:val="24"/>
        </w:rPr>
        <w:t>D that includes, at a mi</w:t>
      </w:r>
      <w:r w:rsidR="003D1934">
        <w:rPr>
          <w:rFonts w:ascii="Times New Roman" w:hAnsi="Times New Roman" w:cs="Times New Roman"/>
          <w:color w:val="365F91"/>
          <w:sz w:val="24"/>
          <w:szCs w:val="24"/>
        </w:rPr>
        <w:t>nimum, the following information:</w:t>
      </w:r>
    </w:p>
    <w:p w:rsidR="003D1934" w:rsidRDefault="003D1934" w:rsidP="003D1934">
      <w:pPr>
        <w:widowControl w:val="0"/>
        <w:tabs>
          <w:tab w:val="left" w:pos="1080"/>
        </w:tabs>
        <w:spacing w:line="284" w:lineRule="exact"/>
        <w:ind w:left="1620" w:hanging="1620"/>
        <w:rPr>
          <w:rFonts w:ascii="Times New Roman" w:hAnsi="Times New Roman" w:cs="Times New Roman"/>
          <w:color w:val="365F91"/>
          <w:sz w:val="24"/>
          <w:szCs w:val="24"/>
        </w:rPr>
      </w:pPr>
    </w:p>
    <w:p w:rsidR="003D1934" w:rsidRDefault="003D1934" w:rsidP="003D1934">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004F2D45" w:rsidRPr="004F2D45">
        <w:rPr>
          <w:rFonts w:ascii="Times New Roman" w:hAnsi="Times New Roman" w:cs="Times New Roman"/>
          <w:color w:val="365F91"/>
          <w:sz w:val="24"/>
          <w:szCs w:val="24"/>
        </w:rPr>
        <w:t>Information describing how the selected methodology (or methodologies) has been implemented, in such detail that, given the same information used by the T</w:t>
      </w:r>
      <w:r w:rsidR="004F2D45">
        <w:rPr>
          <w:rFonts w:ascii="Times New Roman" w:hAnsi="Times New Roman" w:cs="Times New Roman"/>
          <w:color w:val="365F91"/>
          <w:sz w:val="24"/>
          <w:szCs w:val="24"/>
        </w:rPr>
        <w:t>SP</w:t>
      </w:r>
      <w:r w:rsidR="004F2D45" w:rsidRPr="004F2D45">
        <w:rPr>
          <w:rFonts w:ascii="Times New Roman" w:hAnsi="Times New Roman" w:cs="Times New Roman"/>
          <w:color w:val="365F91"/>
          <w:sz w:val="24"/>
          <w:szCs w:val="24"/>
        </w:rPr>
        <w:t>, the results of the ATC or AFC calculations can be validated</w:t>
      </w:r>
      <w:r w:rsidR="004F2D45">
        <w:rPr>
          <w:rFonts w:ascii="Times New Roman" w:hAnsi="Times New Roman" w:cs="Times New Roman"/>
          <w:color w:val="365F91"/>
          <w:sz w:val="24"/>
          <w:szCs w:val="24"/>
        </w:rPr>
        <w:t>.</w:t>
      </w:r>
    </w:p>
    <w:p w:rsidR="003D1934" w:rsidRDefault="003D1934" w:rsidP="003D1934">
      <w:pPr>
        <w:widowControl w:val="0"/>
        <w:tabs>
          <w:tab w:val="left" w:pos="1080"/>
        </w:tabs>
        <w:spacing w:line="284" w:lineRule="exact"/>
        <w:ind w:left="1620" w:hanging="1620"/>
        <w:rPr>
          <w:rFonts w:ascii="Times New Roman" w:hAnsi="Times New Roman" w:cs="Times New Roman"/>
          <w:color w:val="365F91"/>
          <w:sz w:val="24"/>
          <w:szCs w:val="24"/>
        </w:rPr>
      </w:pPr>
    </w:p>
    <w:p w:rsidR="003D1934" w:rsidRPr="00A74C27" w:rsidRDefault="003D1934" w:rsidP="003D1934">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004F2D45" w:rsidRPr="004F2D45">
        <w:t xml:space="preserve"> </w:t>
      </w:r>
      <w:r w:rsidR="004F2D45" w:rsidRPr="004F2D45">
        <w:rPr>
          <w:rFonts w:ascii="Times New Roman" w:hAnsi="Times New Roman" w:cs="Times New Roman"/>
          <w:color w:val="365F91"/>
          <w:sz w:val="24"/>
          <w:szCs w:val="24"/>
        </w:rPr>
        <w:t>A description of the manner in which the T</w:t>
      </w:r>
      <w:r w:rsidR="004F2D45">
        <w:rPr>
          <w:rFonts w:ascii="Times New Roman" w:hAnsi="Times New Roman" w:cs="Times New Roman"/>
          <w:color w:val="365F91"/>
          <w:sz w:val="24"/>
          <w:szCs w:val="24"/>
        </w:rPr>
        <w:t>SP</w:t>
      </w:r>
      <w:r w:rsidR="004F2D45" w:rsidRPr="004F2D45">
        <w:rPr>
          <w:rFonts w:ascii="Times New Roman" w:hAnsi="Times New Roman" w:cs="Times New Roman"/>
          <w:color w:val="365F91"/>
          <w:sz w:val="24"/>
          <w:szCs w:val="24"/>
        </w:rPr>
        <w:t xml:space="preserve"> will account for counterflows including</w:t>
      </w:r>
      <w:r w:rsidR="004F2D45">
        <w:rPr>
          <w:rFonts w:ascii="Times New Roman" w:hAnsi="Times New Roman" w:cs="Times New Roman"/>
          <w:color w:val="365F91"/>
          <w:sz w:val="24"/>
          <w:szCs w:val="24"/>
        </w:rPr>
        <w:t>:</w:t>
      </w:r>
    </w:p>
    <w:p w:rsidR="005E50A4" w:rsidRDefault="003D1934" w:rsidP="003D1934">
      <w:pPr>
        <w:widowControl w:val="0"/>
        <w:spacing w:line="240" w:lineRule="exact"/>
        <w:rPr>
          <w:rFonts w:ascii="Times New Roman" w:hAnsi="Times New Roman" w:cs="Times New Roman"/>
          <w:color w:val="003366"/>
          <w:sz w:val="24"/>
          <w:szCs w:val="24"/>
        </w:rPr>
      </w:pPr>
      <w:r>
        <w:rPr>
          <w:rFonts w:ascii="Times New Roman" w:hAnsi="Times New Roman" w:cs="Times New Roman"/>
          <w:color w:val="365F91"/>
          <w:sz w:val="24"/>
          <w:szCs w:val="24"/>
        </w:rPr>
        <w:t>__</w:t>
      </w:r>
    </w:p>
    <w:p w:rsidR="003D1934" w:rsidRDefault="003D1934" w:rsidP="004F2D45">
      <w:pPr>
        <w:ind w:left="216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004F2D45" w:rsidRPr="004F2D45">
        <w:rPr>
          <w:rFonts w:ascii="Times New Roman" w:hAnsi="Times New Roman" w:cs="Times New Roman"/>
          <w:color w:val="365F91"/>
          <w:sz w:val="24"/>
          <w:szCs w:val="24"/>
        </w:rPr>
        <w:t>How confirmed Transmission reservations, expected Interchange and internal counterflow are addressed in firm and non-firm ATC or AFC calculations</w:t>
      </w:r>
      <w:r w:rsidR="004F2D45">
        <w:rPr>
          <w:rFonts w:ascii="Times New Roman" w:hAnsi="Times New Roman" w:cs="Times New Roman"/>
          <w:color w:val="365F91"/>
          <w:sz w:val="24"/>
          <w:szCs w:val="24"/>
        </w:rPr>
        <w:t>.</w:t>
      </w:r>
    </w:p>
    <w:p w:rsidR="003D1934" w:rsidRDefault="003D1934" w:rsidP="003D1934">
      <w:pPr>
        <w:ind w:left="1620"/>
        <w:rPr>
          <w:rFonts w:ascii="Times New Roman" w:hAnsi="Times New Roman" w:cs="Times New Roman"/>
          <w:color w:val="003366"/>
          <w:sz w:val="24"/>
          <w:szCs w:val="24"/>
        </w:rPr>
      </w:pPr>
    </w:p>
    <w:p w:rsidR="003D1934" w:rsidRDefault="003D1934" w:rsidP="004F2D45">
      <w:pPr>
        <w:ind w:left="216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004F2D45" w:rsidRPr="004F2D45">
        <w:rPr>
          <w:rFonts w:ascii="Times New Roman" w:hAnsi="Times New Roman" w:cs="Times New Roman"/>
          <w:color w:val="365F91"/>
          <w:sz w:val="24"/>
          <w:szCs w:val="24"/>
        </w:rPr>
        <w:t>A rationale for that accounting specified in R3.2</w:t>
      </w:r>
    </w:p>
    <w:p w:rsidR="003D1934" w:rsidRDefault="003D1934" w:rsidP="004F2D45">
      <w:pPr>
        <w:ind w:left="2160"/>
        <w:rPr>
          <w:rFonts w:ascii="Times New Roman" w:hAnsi="Times New Roman" w:cs="Times New Roman"/>
          <w:color w:val="003366"/>
          <w:sz w:val="24"/>
          <w:szCs w:val="24"/>
        </w:rPr>
      </w:pPr>
    </w:p>
    <w:p w:rsidR="003D1934" w:rsidRDefault="003D1934" w:rsidP="004F2D45">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004F2D45">
        <w:rPr>
          <w:rFonts w:ascii="Times New Roman" w:hAnsi="Times New Roman" w:cs="Times New Roman"/>
          <w:b/>
          <w:bCs/>
          <w:color w:val="365F91"/>
          <w:sz w:val="24"/>
          <w:szCs w:val="24"/>
        </w:rPr>
        <w:tab/>
      </w:r>
      <w:r w:rsidR="004F2D45" w:rsidRPr="004F2D45">
        <w:rPr>
          <w:rFonts w:ascii="Times New Roman" w:hAnsi="Times New Roman" w:cs="Times New Roman"/>
          <w:color w:val="365F91"/>
          <w:sz w:val="24"/>
          <w:szCs w:val="24"/>
        </w:rPr>
        <w:t>The identity of the T</w:t>
      </w:r>
      <w:r w:rsidR="004F2D45">
        <w:rPr>
          <w:rFonts w:ascii="Times New Roman" w:hAnsi="Times New Roman" w:cs="Times New Roman"/>
          <w:color w:val="365F91"/>
          <w:sz w:val="24"/>
          <w:szCs w:val="24"/>
        </w:rPr>
        <w:t>OPs</w:t>
      </w:r>
      <w:r w:rsidR="004F2D45" w:rsidRPr="004F2D45">
        <w:rPr>
          <w:rFonts w:ascii="Times New Roman" w:hAnsi="Times New Roman" w:cs="Times New Roman"/>
          <w:color w:val="365F91"/>
          <w:sz w:val="24"/>
          <w:szCs w:val="24"/>
        </w:rPr>
        <w:t xml:space="preserve"> and T</w:t>
      </w:r>
      <w:r w:rsidR="004F2D45">
        <w:rPr>
          <w:rFonts w:ascii="Times New Roman" w:hAnsi="Times New Roman" w:cs="Times New Roman"/>
          <w:color w:val="365F91"/>
          <w:sz w:val="24"/>
          <w:szCs w:val="24"/>
        </w:rPr>
        <w:t>SPs</w:t>
      </w:r>
      <w:r w:rsidR="004F2D45" w:rsidRPr="004F2D45">
        <w:rPr>
          <w:rFonts w:ascii="Times New Roman" w:hAnsi="Times New Roman" w:cs="Times New Roman"/>
          <w:color w:val="365F91"/>
          <w:sz w:val="24"/>
          <w:szCs w:val="24"/>
        </w:rPr>
        <w:t xml:space="preserve"> from which the T</w:t>
      </w:r>
      <w:r w:rsidR="004F2D45">
        <w:rPr>
          <w:rFonts w:ascii="Times New Roman" w:hAnsi="Times New Roman" w:cs="Times New Roman"/>
          <w:color w:val="365F91"/>
          <w:sz w:val="24"/>
          <w:szCs w:val="24"/>
        </w:rPr>
        <w:t>SP</w:t>
      </w:r>
      <w:r w:rsidR="004F2D45" w:rsidRPr="004F2D45">
        <w:rPr>
          <w:rFonts w:ascii="Times New Roman" w:hAnsi="Times New Roman" w:cs="Times New Roman"/>
          <w:color w:val="365F91"/>
          <w:sz w:val="24"/>
          <w:szCs w:val="24"/>
        </w:rPr>
        <w:t xml:space="preserve"> receives data for use in calculating ATC or AFC</w:t>
      </w:r>
      <w:r w:rsidR="004F2D45">
        <w:rPr>
          <w:rFonts w:ascii="Times New Roman" w:hAnsi="Times New Roman" w:cs="Times New Roman"/>
          <w:color w:val="365F91"/>
          <w:sz w:val="24"/>
          <w:szCs w:val="24"/>
        </w:rPr>
        <w:t>.</w:t>
      </w:r>
    </w:p>
    <w:p w:rsidR="003D1934" w:rsidRDefault="003D1934" w:rsidP="003D1934">
      <w:pPr>
        <w:ind w:left="360"/>
        <w:rPr>
          <w:rFonts w:ascii="Times New Roman" w:hAnsi="Times New Roman" w:cs="Times New Roman"/>
          <w:color w:val="003366"/>
          <w:sz w:val="24"/>
          <w:szCs w:val="24"/>
        </w:rPr>
      </w:pPr>
    </w:p>
    <w:p w:rsidR="004F2D45" w:rsidRDefault="004F2D45" w:rsidP="004F2D45">
      <w:pPr>
        <w:ind w:left="162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4F2D45">
        <w:rPr>
          <w:rFonts w:ascii="Times New Roman" w:hAnsi="Times New Roman" w:cs="Times New Roman"/>
          <w:color w:val="365F91"/>
          <w:sz w:val="24"/>
          <w:szCs w:val="24"/>
        </w:rPr>
        <w:t>The identity of the T</w:t>
      </w:r>
      <w:r>
        <w:rPr>
          <w:rFonts w:ascii="Times New Roman" w:hAnsi="Times New Roman" w:cs="Times New Roman"/>
          <w:color w:val="365F91"/>
          <w:sz w:val="24"/>
          <w:szCs w:val="24"/>
        </w:rPr>
        <w:t>SP</w:t>
      </w:r>
      <w:r w:rsidRPr="004F2D45">
        <w:rPr>
          <w:rFonts w:ascii="Times New Roman" w:hAnsi="Times New Roman" w:cs="Times New Roman"/>
          <w:color w:val="365F91"/>
          <w:sz w:val="24"/>
          <w:szCs w:val="24"/>
        </w:rPr>
        <w:t>s and T</w:t>
      </w:r>
      <w:r>
        <w:rPr>
          <w:rFonts w:ascii="Times New Roman" w:hAnsi="Times New Roman" w:cs="Times New Roman"/>
          <w:color w:val="365F91"/>
          <w:sz w:val="24"/>
          <w:szCs w:val="24"/>
        </w:rPr>
        <w:t>OP</w:t>
      </w:r>
      <w:r w:rsidRPr="004F2D45">
        <w:rPr>
          <w:rFonts w:ascii="Times New Roman" w:hAnsi="Times New Roman" w:cs="Times New Roman"/>
          <w:color w:val="365F91"/>
          <w:sz w:val="24"/>
          <w:szCs w:val="24"/>
        </w:rPr>
        <w:t>s to which it provides data for use in calculating transfer or Flowgate capability</w:t>
      </w:r>
      <w:r>
        <w:rPr>
          <w:rFonts w:ascii="Times New Roman" w:hAnsi="Times New Roman" w:cs="Times New Roman"/>
          <w:color w:val="365F91"/>
          <w:sz w:val="24"/>
          <w:szCs w:val="24"/>
        </w:rPr>
        <w:t>.</w:t>
      </w:r>
    </w:p>
    <w:p w:rsidR="004F2D45" w:rsidRDefault="004F2D45" w:rsidP="004F2D45">
      <w:pPr>
        <w:ind w:left="1620"/>
        <w:rPr>
          <w:rFonts w:ascii="Times New Roman" w:hAnsi="Times New Roman" w:cs="Times New Roman"/>
          <w:color w:val="003366"/>
          <w:sz w:val="24"/>
          <w:szCs w:val="24"/>
        </w:rPr>
      </w:pPr>
    </w:p>
    <w:p w:rsidR="004F2D45" w:rsidRDefault="004F2D45" w:rsidP="004F2D45">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4F2D45">
        <w:rPr>
          <w:rFonts w:ascii="Times New Roman" w:hAnsi="Times New Roman" w:cs="Times New Roman"/>
          <w:color w:val="365F91"/>
          <w:sz w:val="24"/>
          <w:szCs w:val="24"/>
        </w:rPr>
        <w:t>A description of the allocation processes listed below that are applicable to the T</w:t>
      </w:r>
      <w:r>
        <w:rPr>
          <w:rFonts w:ascii="Times New Roman" w:hAnsi="Times New Roman" w:cs="Times New Roman"/>
          <w:color w:val="365F91"/>
          <w:sz w:val="24"/>
          <w:szCs w:val="24"/>
        </w:rPr>
        <w:t>SP:</w:t>
      </w:r>
    </w:p>
    <w:p w:rsidR="004F2D45" w:rsidRDefault="004F2D45" w:rsidP="003D1934">
      <w:pPr>
        <w:ind w:left="360"/>
        <w:rPr>
          <w:rFonts w:ascii="Times New Roman" w:hAnsi="Times New Roman" w:cs="Times New Roman"/>
          <w:color w:val="003366"/>
          <w:sz w:val="24"/>
          <w:szCs w:val="24"/>
        </w:rPr>
      </w:pPr>
    </w:p>
    <w:p w:rsidR="004F2D45" w:rsidRDefault="004F2D45" w:rsidP="004F2D45">
      <w:pPr>
        <w:ind w:left="216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4F2D45">
        <w:rPr>
          <w:rFonts w:ascii="Times New Roman" w:hAnsi="Times New Roman" w:cs="Times New Roman"/>
          <w:color w:val="365F91"/>
          <w:sz w:val="24"/>
          <w:szCs w:val="24"/>
        </w:rPr>
        <w:t>Processes used to allocate transfer or Flowgate capability among multiple lines or sub-paths within a larger ATC Path or Flowgate</w:t>
      </w:r>
      <w:r>
        <w:rPr>
          <w:rFonts w:ascii="Times New Roman" w:hAnsi="Times New Roman" w:cs="Times New Roman"/>
          <w:color w:val="365F91"/>
          <w:sz w:val="24"/>
          <w:szCs w:val="24"/>
        </w:rPr>
        <w:t>.</w:t>
      </w:r>
    </w:p>
    <w:p w:rsidR="004F2D45" w:rsidRPr="004F2D45" w:rsidRDefault="004F2D45" w:rsidP="004F2D45">
      <w:pPr>
        <w:ind w:left="1620"/>
        <w:rPr>
          <w:rFonts w:ascii="Times New Roman" w:hAnsi="Times New Roman" w:cs="Times New Roman"/>
          <w:color w:val="003366"/>
          <w:sz w:val="24"/>
          <w:szCs w:val="24"/>
        </w:rPr>
      </w:pPr>
    </w:p>
    <w:p w:rsidR="004F2D45" w:rsidRPr="004F2D45" w:rsidRDefault="004F2D45" w:rsidP="004F2D45">
      <w:pPr>
        <w:ind w:left="2160"/>
        <w:rPr>
          <w:rFonts w:ascii="Times New Roman" w:hAnsi="Times New Roman" w:cs="Times New Roman"/>
          <w:color w:val="003366"/>
          <w:sz w:val="24"/>
          <w:szCs w:val="24"/>
        </w:rPr>
      </w:pPr>
      <w:r w:rsidRPr="004F2D45">
        <w:rPr>
          <w:rFonts w:ascii="Times New Roman" w:hAnsi="Times New Roman" w:cs="Times New Roman"/>
          <w:bCs/>
          <w:color w:val="365F91"/>
          <w:sz w:val="24"/>
          <w:szCs w:val="24"/>
        </w:rPr>
        <w:t>____ Processes used to allocate transfer or Flowgate capabilities among multiple owners or users of an ATC Path or Flowgate</w:t>
      </w:r>
      <w:r>
        <w:rPr>
          <w:rFonts w:ascii="Times New Roman" w:hAnsi="Times New Roman" w:cs="Times New Roman"/>
          <w:bCs/>
          <w:color w:val="365F91"/>
          <w:sz w:val="24"/>
          <w:szCs w:val="24"/>
        </w:rPr>
        <w:t>.</w:t>
      </w:r>
    </w:p>
    <w:p w:rsidR="004F2D45" w:rsidRPr="004F2D45" w:rsidRDefault="004F2D45" w:rsidP="003D1934">
      <w:pPr>
        <w:ind w:left="360"/>
        <w:rPr>
          <w:rFonts w:ascii="Times New Roman" w:hAnsi="Times New Roman" w:cs="Times New Roman"/>
          <w:color w:val="003366"/>
          <w:sz w:val="24"/>
          <w:szCs w:val="24"/>
        </w:rPr>
      </w:pPr>
    </w:p>
    <w:p w:rsidR="004F2D45" w:rsidRDefault="004F2D45" w:rsidP="004F2D45">
      <w:pPr>
        <w:ind w:left="2160"/>
        <w:rPr>
          <w:rFonts w:ascii="Times New Roman" w:hAnsi="Times New Roman" w:cs="Times New Roman"/>
          <w:color w:val="365F91"/>
          <w:sz w:val="24"/>
          <w:szCs w:val="24"/>
        </w:rPr>
      </w:pPr>
      <w:r w:rsidRPr="004F2D45">
        <w:rPr>
          <w:rFonts w:ascii="Times New Roman" w:hAnsi="Times New Roman" w:cs="Times New Roman"/>
          <w:bCs/>
          <w:color w:val="365F91"/>
          <w:sz w:val="24"/>
          <w:szCs w:val="24"/>
        </w:rPr>
        <w:t xml:space="preserve">____ </w:t>
      </w:r>
      <w:r w:rsidRPr="004F2D45">
        <w:rPr>
          <w:rFonts w:ascii="Times New Roman" w:hAnsi="Times New Roman" w:cs="Times New Roman"/>
          <w:bCs/>
          <w:color w:val="365F91"/>
          <w:sz w:val="24"/>
          <w:szCs w:val="24"/>
        </w:rPr>
        <w:tab/>
      </w:r>
      <w:r w:rsidRPr="004F2D45">
        <w:rPr>
          <w:rFonts w:ascii="Times New Roman" w:hAnsi="Times New Roman" w:cs="Times New Roman"/>
          <w:color w:val="365F91"/>
          <w:sz w:val="24"/>
          <w:szCs w:val="24"/>
        </w:rPr>
        <w:t>Processes used to allocate transfer or Flowgate capabilities between T</w:t>
      </w:r>
      <w:r>
        <w:rPr>
          <w:rFonts w:ascii="Times New Roman" w:hAnsi="Times New Roman" w:cs="Times New Roman"/>
          <w:color w:val="365F91"/>
          <w:sz w:val="24"/>
          <w:szCs w:val="24"/>
        </w:rPr>
        <w:t>SPs</w:t>
      </w:r>
      <w:r w:rsidRPr="004F2D45">
        <w:rPr>
          <w:rFonts w:ascii="Times New Roman" w:hAnsi="Times New Roman" w:cs="Times New Roman"/>
          <w:color w:val="365F91"/>
          <w:sz w:val="24"/>
          <w:szCs w:val="24"/>
        </w:rPr>
        <w:t xml:space="preserve"> to address issues such as forward looking congestion management and seams coordination</w:t>
      </w:r>
      <w:r w:rsidR="00894DBC">
        <w:rPr>
          <w:rFonts w:ascii="Times New Roman" w:hAnsi="Times New Roman" w:cs="Times New Roman"/>
          <w:color w:val="365F91"/>
          <w:sz w:val="24"/>
          <w:szCs w:val="24"/>
        </w:rPr>
        <w:t>.</w:t>
      </w:r>
    </w:p>
    <w:p w:rsidR="004F2D45" w:rsidRDefault="004F2D45" w:rsidP="004F2D45">
      <w:pPr>
        <w:ind w:left="2160"/>
        <w:rPr>
          <w:rFonts w:ascii="Times New Roman" w:hAnsi="Times New Roman" w:cs="Times New Roman"/>
          <w:color w:val="365F91"/>
          <w:sz w:val="24"/>
          <w:szCs w:val="24"/>
        </w:rPr>
      </w:pPr>
    </w:p>
    <w:p w:rsidR="004F2D45" w:rsidRDefault="004F2D45" w:rsidP="004F2D45">
      <w:pPr>
        <w:ind w:left="162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4F2D45">
        <w:rPr>
          <w:rFonts w:ascii="Times New Roman" w:hAnsi="Times New Roman" w:cs="Times New Roman"/>
          <w:color w:val="365F91"/>
          <w:sz w:val="24"/>
          <w:szCs w:val="24"/>
        </w:rPr>
        <w:t>A description of how generation and transmission outages are considered in transfer or Flowgate capability calculations, including</w:t>
      </w:r>
      <w:r>
        <w:rPr>
          <w:rFonts w:ascii="Times New Roman" w:hAnsi="Times New Roman" w:cs="Times New Roman"/>
          <w:color w:val="365F91"/>
          <w:sz w:val="24"/>
          <w:szCs w:val="24"/>
        </w:rPr>
        <w:t>:</w:t>
      </w:r>
    </w:p>
    <w:p w:rsidR="004F2D45" w:rsidRDefault="004F2D45" w:rsidP="004F2D45">
      <w:pPr>
        <w:ind w:left="1620"/>
        <w:rPr>
          <w:rFonts w:ascii="Times New Roman" w:hAnsi="Times New Roman" w:cs="Times New Roman"/>
          <w:color w:val="003366"/>
          <w:sz w:val="24"/>
          <w:szCs w:val="24"/>
        </w:rPr>
      </w:pPr>
    </w:p>
    <w:p w:rsidR="004F2D45" w:rsidRDefault="004F2D45" w:rsidP="004F2D45">
      <w:pPr>
        <w:ind w:left="216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4F2D45">
        <w:rPr>
          <w:rFonts w:ascii="Times New Roman" w:hAnsi="Times New Roman" w:cs="Times New Roman"/>
          <w:color w:val="365F91"/>
          <w:sz w:val="24"/>
          <w:szCs w:val="24"/>
        </w:rPr>
        <w:t>The criteria used to determine when an outage that is in effect part of a day impacts a daily calculation</w:t>
      </w:r>
      <w:r w:rsidR="00894DBC">
        <w:rPr>
          <w:rFonts w:ascii="Times New Roman" w:hAnsi="Times New Roman" w:cs="Times New Roman"/>
          <w:color w:val="365F91"/>
          <w:sz w:val="24"/>
          <w:szCs w:val="24"/>
        </w:rPr>
        <w:t>.</w:t>
      </w:r>
    </w:p>
    <w:p w:rsidR="004F2D45" w:rsidRPr="004F2D45" w:rsidRDefault="004F2D45" w:rsidP="004F2D45">
      <w:pPr>
        <w:ind w:left="1620"/>
        <w:rPr>
          <w:rFonts w:ascii="Times New Roman" w:hAnsi="Times New Roman" w:cs="Times New Roman"/>
          <w:color w:val="003366"/>
          <w:sz w:val="24"/>
          <w:szCs w:val="24"/>
        </w:rPr>
      </w:pPr>
    </w:p>
    <w:p w:rsidR="004F2D45" w:rsidRPr="004F2D45" w:rsidRDefault="004F2D45" w:rsidP="004F2D45">
      <w:pPr>
        <w:ind w:left="2160"/>
        <w:rPr>
          <w:rFonts w:ascii="Times New Roman" w:hAnsi="Times New Roman" w:cs="Times New Roman"/>
          <w:color w:val="003366"/>
          <w:sz w:val="24"/>
          <w:szCs w:val="24"/>
        </w:rPr>
      </w:pPr>
      <w:r w:rsidRPr="004F2D45">
        <w:rPr>
          <w:rFonts w:ascii="Times New Roman" w:hAnsi="Times New Roman" w:cs="Times New Roman"/>
          <w:bCs/>
          <w:color w:val="365F91"/>
          <w:sz w:val="24"/>
          <w:szCs w:val="24"/>
        </w:rPr>
        <w:t>____ The criteria used to determine when an outage that is in effect part of a month impacts a monthly calculation</w:t>
      </w:r>
      <w:r w:rsidR="00894DBC">
        <w:rPr>
          <w:rFonts w:ascii="Times New Roman" w:hAnsi="Times New Roman" w:cs="Times New Roman"/>
          <w:bCs/>
          <w:color w:val="365F91"/>
          <w:sz w:val="24"/>
          <w:szCs w:val="24"/>
        </w:rPr>
        <w:t>.</w:t>
      </w:r>
    </w:p>
    <w:p w:rsidR="004F2D45" w:rsidRPr="004F2D45" w:rsidRDefault="004F2D45" w:rsidP="004F2D45">
      <w:pPr>
        <w:ind w:left="360"/>
        <w:rPr>
          <w:rFonts w:ascii="Times New Roman" w:hAnsi="Times New Roman" w:cs="Times New Roman"/>
          <w:color w:val="003366"/>
          <w:sz w:val="24"/>
          <w:szCs w:val="24"/>
        </w:rPr>
      </w:pPr>
    </w:p>
    <w:p w:rsidR="004F2D45" w:rsidRDefault="004F2D45" w:rsidP="004F2D45">
      <w:pPr>
        <w:ind w:left="2160"/>
        <w:rPr>
          <w:rFonts w:ascii="Times New Roman" w:hAnsi="Times New Roman" w:cs="Times New Roman"/>
          <w:color w:val="365F91"/>
          <w:sz w:val="24"/>
          <w:szCs w:val="24"/>
        </w:rPr>
      </w:pPr>
      <w:r w:rsidRPr="004F2D45">
        <w:rPr>
          <w:rFonts w:ascii="Times New Roman" w:hAnsi="Times New Roman" w:cs="Times New Roman"/>
          <w:bCs/>
          <w:color w:val="365F91"/>
          <w:sz w:val="24"/>
          <w:szCs w:val="24"/>
        </w:rPr>
        <w:t xml:space="preserve">____ </w:t>
      </w:r>
      <w:r w:rsidRPr="004F2D45">
        <w:rPr>
          <w:rFonts w:ascii="Times New Roman" w:hAnsi="Times New Roman" w:cs="Times New Roman"/>
          <w:bCs/>
          <w:color w:val="365F91"/>
          <w:sz w:val="24"/>
          <w:szCs w:val="24"/>
        </w:rPr>
        <w:tab/>
      </w:r>
      <w:r w:rsidRPr="004F2D45">
        <w:rPr>
          <w:rFonts w:ascii="Times New Roman" w:hAnsi="Times New Roman" w:cs="Times New Roman"/>
          <w:color w:val="365F91"/>
          <w:sz w:val="24"/>
          <w:szCs w:val="24"/>
        </w:rPr>
        <w:t>How outages from other T</w:t>
      </w:r>
      <w:r w:rsidR="00894DBC">
        <w:rPr>
          <w:rFonts w:ascii="Times New Roman" w:hAnsi="Times New Roman" w:cs="Times New Roman"/>
          <w:color w:val="365F91"/>
          <w:sz w:val="24"/>
          <w:szCs w:val="24"/>
        </w:rPr>
        <w:t>SPs that can</w:t>
      </w:r>
      <w:r w:rsidRPr="004F2D45">
        <w:rPr>
          <w:rFonts w:ascii="Times New Roman" w:hAnsi="Times New Roman" w:cs="Times New Roman"/>
          <w:color w:val="365F91"/>
          <w:sz w:val="24"/>
          <w:szCs w:val="24"/>
        </w:rPr>
        <w:t>not be mapped to the Transmission model used to calculate transfer or Flowgate capability are addressed</w:t>
      </w:r>
      <w:r w:rsidR="00894DBC">
        <w:rPr>
          <w:rFonts w:ascii="Times New Roman" w:hAnsi="Times New Roman" w:cs="Times New Roman"/>
          <w:color w:val="365F91"/>
          <w:sz w:val="24"/>
          <w:szCs w:val="24"/>
        </w:rPr>
        <w:t>.</w:t>
      </w:r>
    </w:p>
    <w:p w:rsidR="004F2D45" w:rsidRPr="004F2D45" w:rsidRDefault="004F2D45" w:rsidP="004F2D45">
      <w:pPr>
        <w:ind w:left="2160"/>
        <w:rPr>
          <w:rFonts w:ascii="Times New Roman" w:hAnsi="Times New Roman" w:cs="Times New Roman"/>
          <w:color w:val="003366"/>
          <w:sz w:val="24"/>
          <w:szCs w:val="24"/>
        </w:rPr>
      </w:pPr>
    </w:p>
    <w:p w:rsidR="003D1934" w:rsidRPr="003D1934" w:rsidRDefault="005E50A4" w:rsidP="005E50A4">
      <w:pPr>
        <w:widowControl w:val="0"/>
        <w:tabs>
          <w:tab w:val="left" w:pos="900"/>
          <w:tab w:val="left" w:pos="6360"/>
        </w:tabs>
        <w:spacing w:line="294" w:lineRule="exact"/>
        <w:rPr>
          <w:rFonts w:ascii="Times New Roman" w:hAnsi="Times New Roman" w:cs="Times New Roman"/>
          <w:color w:val="365F91"/>
          <w:sz w:val="24"/>
          <w:szCs w:val="24"/>
        </w:rPr>
      </w:pPr>
      <w:r w:rsidRPr="001F467C">
        <w:rPr>
          <w:rFonts w:ascii="Times New Roman" w:hAnsi="Times New Roman" w:cs="Times New Roman"/>
          <w:b/>
          <w:bCs/>
          <w:color w:val="003366"/>
          <w:sz w:val="24"/>
          <w:szCs w:val="24"/>
        </w:rPr>
        <w:t>Detailed notes:</w:t>
      </w:r>
      <w:r w:rsidR="003D1934" w:rsidRPr="003D1934">
        <w:rPr>
          <w:rFonts w:ascii="Times New Roman" w:hAnsi="Times New Roman" w:cs="Times New Roman"/>
          <w:color w:val="365F91"/>
          <w:sz w:val="24"/>
          <w:szCs w:val="24"/>
        </w:rPr>
        <w:t xml:space="preserve"> </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rsidR="00E26A92" w:rsidRDefault="00E26A92" w:rsidP="002D1C0A">
      <w:pPr>
        <w:pStyle w:val="Requirement"/>
        <w:numPr>
          <w:ilvl w:val="0"/>
          <w:numId w:val="0"/>
        </w:numPr>
        <w:tabs>
          <w:tab w:val="left" w:pos="2592"/>
        </w:tabs>
        <w:ind w:left="360"/>
      </w:pPr>
    </w:p>
    <w:p w:rsidR="00A465E4" w:rsidRPr="001F467C" w:rsidRDefault="00A465E4" w:rsidP="002D1C0A">
      <w:pPr>
        <w:pStyle w:val="Requirement"/>
        <w:numPr>
          <w:ilvl w:val="0"/>
          <w:numId w:val="0"/>
        </w:numPr>
        <w:tabs>
          <w:tab w:val="left" w:pos="2592"/>
        </w:tabs>
        <w:ind w:left="360"/>
      </w:pPr>
    </w:p>
    <w:p w:rsidR="000139E0" w:rsidRDefault="000139E0" w:rsidP="000139E0">
      <w:pPr>
        <w:pStyle w:val="Requirement"/>
        <w:tabs>
          <w:tab w:val="clear" w:pos="720"/>
          <w:tab w:val="clear" w:pos="1116"/>
          <w:tab w:val="num" w:pos="1080"/>
          <w:tab w:val="left" w:pos="2592"/>
        </w:tabs>
        <w:ind w:left="1080" w:hanging="576"/>
      </w:pPr>
      <w:r w:rsidRPr="009C72D7">
        <w:t>The Transmission Service Provider shall notify the following entities before implementing a new or revised ATCID: [</w:t>
      </w:r>
      <w:r w:rsidRPr="009C72D7">
        <w:rPr>
          <w:i/>
        </w:rPr>
        <w:t>Violation Risk Factor: Lower</w:t>
      </w:r>
      <w:r w:rsidRPr="009C72D7">
        <w:t>] [</w:t>
      </w:r>
      <w:r w:rsidRPr="009C72D7">
        <w:rPr>
          <w:i/>
        </w:rPr>
        <w:t>Time Horizon: Operations Planning</w:t>
      </w:r>
      <w:r w:rsidRPr="009C72D7">
        <w:t>]</w:t>
      </w: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vanish/>
          <w:sz w:val="24"/>
          <w:szCs w:val="24"/>
        </w:rPr>
      </w:pPr>
    </w:p>
    <w:p w:rsidR="000139E0" w:rsidRDefault="000139E0" w:rsidP="000139E0">
      <w:pPr>
        <w:pStyle w:val="Requirement"/>
        <w:numPr>
          <w:ilvl w:val="1"/>
          <w:numId w:val="18"/>
        </w:numPr>
        <w:tabs>
          <w:tab w:val="clear" w:pos="1726"/>
          <w:tab w:val="left" w:pos="2592"/>
        </w:tabs>
      </w:pPr>
      <w:r w:rsidRPr="009C72D7">
        <w:t>Each Planning Coordinator associated with the Transmission Service Provider’s area.</w:t>
      </w:r>
    </w:p>
    <w:p w:rsidR="000139E0" w:rsidRDefault="000139E0" w:rsidP="000139E0">
      <w:pPr>
        <w:pStyle w:val="Requirement"/>
        <w:numPr>
          <w:ilvl w:val="1"/>
          <w:numId w:val="18"/>
        </w:numPr>
        <w:tabs>
          <w:tab w:val="clear" w:pos="1726"/>
          <w:tab w:val="left" w:pos="2592"/>
        </w:tabs>
      </w:pPr>
      <w:r w:rsidRPr="009C72D7">
        <w:t>Each Reliability Coordinator associated with the Transmission Service Provider’s area.</w:t>
      </w:r>
    </w:p>
    <w:p w:rsidR="000139E0" w:rsidRDefault="000139E0" w:rsidP="000139E0">
      <w:pPr>
        <w:pStyle w:val="Requirement"/>
        <w:numPr>
          <w:ilvl w:val="1"/>
          <w:numId w:val="18"/>
        </w:numPr>
        <w:tabs>
          <w:tab w:val="clear" w:pos="1726"/>
          <w:tab w:val="left" w:pos="2592"/>
        </w:tabs>
      </w:pPr>
      <w:r w:rsidRPr="009C72D7">
        <w:t>Each Transmission Operator associated with the Transmission Service Provider’s area.</w:t>
      </w:r>
    </w:p>
    <w:p w:rsidR="000139E0" w:rsidRDefault="000139E0" w:rsidP="000139E0">
      <w:pPr>
        <w:pStyle w:val="Requirement"/>
        <w:numPr>
          <w:ilvl w:val="1"/>
          <w:numId w:val="18"/>
        </w:numPr>
        <w:tabs>
          <w:tab w:val="clear" w:pos="1726"/>
          <w:tab w:val="left" w:pos="2592"/>
        </w:tabs>
      </w:pPr>
      <w:r w:rsidRPr="009C72D7">
        <w:t>Each Planning Coordinator adjacent to the Transmission Service Provider’s area.</w:t>
      </w:r>
    </w:p>
    <w:p w:rsidR="000139E0" w:rsidRDefault="000139E0" w:rsidP="000139E0">
      <w:pPr>
        <w:pStyle w:val="Requirement"/>
        <w:numPr>
          <w:ilvl w:val="1"/>
          <w:numId w:val="18"/>
        </w:numPr>
        <w:tabs>
          <w:tab w:val="clear" w:pos="1726"/>
          <w:tab w:val="left" w:pos="2592"/>
        </w:tabs>
      </w:pPr>
      <w:r w:rsidRPr="009C72D7">
        <w:t>Each Reliability Coordinator adjacent to the Transmission Service Provider’s area.</w:t>
      </w:r>
    </w:p>
    <w:p w:rsidR="000139E0" w:rsidRPr="009C72D7" w:rsidRDefault="000139E0" w:rsidP="000139E0">
      <w:pPr>
        <w:pStyle w:val="Requirement"/>
        <w:numPr>
          <w:ilvl w:val="1"/>
          <w:numId w:val="18"/>
        </w:numPr>
        <w:tabs>
          <w:tab w:val="clear" w:pos="1726"/>
          <w:tab w:val="left" w:pos="2592"/>
        </w:tabs>
      </w:pPr>
      <w:r w:rsidRPr="009C72D7">
        <w:t>Each Transmission Service Provider whose area is adjacent to the Transmission Service Provider’s area.</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65170E" w:rsidRPr="00A465E4" w:rsidRDefault="0065170E" w:rsidP="00E26A92">
      <w:pPr>
        <w:pStyle w:val="Heading1"/>
        <w:rPr>
          <w:sz w:val="32"/>
          <w:szCs w:val="32"/>
        </w:rPr>
      </w:pPr>
      <w:r w:rsidRPr="00A465E4">
        <w:rPr>
          <w:sz w:val="32"/>
          <w:szCs w:val="32"/>
        </w:rPr>
        <w:t>R4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MOD-001</w:t>
      </w:r>
      <w:r w:rsidR="001D0C8A">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371485" w:rsidRDefault="00371485" w:rsidP="00371485">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t>____ Verify t</w:t>
      </w:r>
      <w:r w:rsidRPr="00371485">
        <w:rPr>
          <w:rFonts w:ascii="Times New Roman" w:hAnsi="Times New Roman" w:cs="Times New Roman"/>
          <w:color w:val="365F91"/>
          <w:sz w:val="24"/>
          <w:szCs w:val="24"/>
        </w:rPr>
        <w: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 xml:space="preserve"> notif</w:t>
      </w:r>
      <w:r>
        <w:rPr>
          <w:rFonts w:ascii="Times New Roman" w:hAnsi="Times New Roman" w:cs="Times New Roman"/>
          <w:color w:val="365F91"/>
          <w:sz w:val="24"/>
          <w:szCs w:val="24"/>
        </w:rPr>
        <w:t>ied</w:t>
      </w:r>
      <w:r w:rsidRPr="00371485">
        <w:rPr>
          <w:rFonts w:ascii="Times New Roman" w:hAnsi="Times New Roman" w:cs="Times New Roman"/>
          <w:color w:val="365F91"/>
          <w:sz w:val="24"/>
          <w:szCs w:val="24"/>
        </w:rPr>
        <w:t xml:space="preserve"> the following entities before implementing a new or revised ATCID</w:t>
      </w:r>
      <w:r>
        <w:rPr>
          <w:rFonts w:ascii="Times New Roman" w:hAnsi="Times New Roman" w:cs="Times New Roman"/>
          <w:color w:val="365F91"/>
          <w:sz w:val="24"/>
          <w:szCs w:val="24"/>
        </w:rPr>
        <w:t>:</w:t>
      </w:r>
    </w:p>
    <w:p w:rsidR="00371485" w:rsidRDefault="00371485" w:rsidP="00371485">
      <w:pPr>
        <w:widowControl w:val="0"/>
        <w:tabs>
          <w:tab w:val="left" w:pos="1080"/>
        </w:tabs>
        <w:spacing w:line="284" w:lineRule="exact"/>
        <w:ind w:left="1620" w:hanging="1620"/>
        <w:rPr>
          <w:rFonts w:ascii="Times New Roman" w:hAnsi="Times New Roman" w:cs="Times New Roman"/>
          <w:color w:val="365F91"/>
          <w:sz w:val="24"/>
          <w:szCs w:val="24"/>
        </w:rPr>
      </w:pPr>
    </w:p>
    <w:p w:rsidR="00371485" w:rsidRDefault="00371485" w:rsidP="00371485">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371485">
        <w:t xml:space="preserve"> </w:t>
      </w:r>
      <w:r w:rsidRPr="00371485">
        <w:rPr>
          <w:rFonts w:ascii="Times New Roman" w:hAnsi="Times New Roman" w:cs="Times New Roman"/>
          <w:color w:val="365F91"/>
          <w:sz w:val="24"/>
          <w:szCs w:val="24"/>
        </w:rPr>
        <w:t>Each Planning Coordinator associated with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p>
    <w:p w:rsidR="00371485" w:rsidRDefault="00371485" w:rsidP="00371485">
      <w:pPr>
        <w:widowControl w:val="0"/>
        <w:tabs>
          <w:tab w:val="left" w:pos="1080"/>
        </w:tabs>
        <w:spacing w:line="284" w:lineRule="exact"/>
        <w:ind w:left="1620" w:hanging="1620"/>
        <w:rPr>
          <w:rFonts w:ascii="Times New Roman" w:hAnsi="Times New Roman" w:cs="Times New Roman"/>
          <w:color w:val="365F91"/>
          <w:sz w:val="24"/>
          <w:szCs w:val="24"/>
        </w:rPr>
      </w:pPr>
    </w:p>
    <w:p w:rsidR="00371485" w:rsidRPr="00A74C27" w:rsidRDefault="00371485" w:rsidP="00371485">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4F2D45">
        <w:t xml:space="preserve"> </w:t>
      </w:r>
      <w:r>
        <w:rPr>
          <w:rFonts w:ascii="Times New Roman" w:hAnsi="Times New Roman" w:cs="Times New Roman"/>
          <w:color w:val="365F91"/>
          <w:sz w:val="24"/>
          <w:szCs w:val="24"/>
        </w:rPr>
        <w:t>Each RC</w:t>
      </w:r>
      <w:r w:rsidRPr="00371485">
        <w:rPr>
          <w:rFonts w:ascii="Times New Roman" w:hAnsi="Times New Roman" w:cs="Times New Roman"/>
          <w:color w:val="365F91"/>
          <w:sz w:val="24"/>
          <w:szCs w:val="24"/>
        </w:rPr>
        <w:t xml:space="preserve"> associated with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p>
    <w:p w:rsidR="00371485" w:rsidRDefault="00371485" w:rsidP="00371485">
      <w:pPr>
        <w:widowControl w:val="0"/>
        <w:spacing w:line="240" w:lineRule="exact"/>
        <w:rPr>
          <w:rFonts w:ascii="Times New Roman" w:hAnsi="Times New Roman" w:cs="Times New Roman"/>
          <w:color w:val="003366"/>
          <w:sz w:val="24"/>
          <w:szCs w:val="24"/>
        </w:rPr>
      </w:pPr>
    </w:p>
    <w:p w:rsidR="00371485" w:rsidRDefault="00371485" w:rsidP="00371485">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371485">
        <w:rPr>
          <w:rFonts w:ascii="Times New Roman" w:hAnsi="Times New Roman" w:cs="Times New Roman"/>
          <w:color w:val="365F91"/>
          <w:sz w:val="24"/>
          <w:szCs w:val="24"/>
        </w:rPr>
        <w:t>Each T</w:t>
      </w:r>
      <w:r>
        <w:rPr>
          <w:rFonts w:ascii="Times New Roman" w:hAnsi="Times New Roman" w:cs="Times New Roman"/>
          <w:color w:val="365F91"/>
          <w:sz w:val="24"/>
          <w:szCs w:val="24"/>
        </w:rPr>
        <w:t>OP</w:t>
      </w:r>
      <w:r w:rsidRPr="00371485">
        <w:rPr>
          <w:rFonts w:ascii="Times New Roman" w:hAnsi="Times New Roman" w:cs="Times New Roman"/>
          <w:color w:val="365F91"/>
          <w:sz w:val="24"/>
          <w:szCs w:val="24"/>
        </w:rPr>
        <w:t xml:space="preserve"> associated with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r>
        <w:rPr>
          <w:rFonts w:ascii="Times New Roman" w:hAnsi="Times New Roman" w:cs="Times New Roman"/>
          <w:color w:val="365F91"/>
          <w:sz w:val="24"/>
          <w:szCs w:val="24"/>
        </w:rPr>
        <w:t>.</w:t>
      </w:r>
    </w:p>
    <w:p w:rsidR="00371485" w:rsidRDefault="00371485" w:rsidP="00371485">
      <w:pPr>
        <w:ind w:left="1620"/>
        <w:rPr>
          <w:rFonts w:ascii="Times New Roman" w:hAnsi="Times New Roman" w:cs="Times New Roman"/>
          <w:color w:val="003366"/>
          <w:sz w:val="24"/>
          <w:szCs w:val="24"/>
        </w:rPr>
      </w:pPr>
    </w:p>
    <w:p w:rsidR="00371485" w:rsidRDefault="00371485" w:rsidP="00371485">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371485">
        <w:rPr>
          <w:rFonts w:ascii="Times New Roman" w:hAnsi="Times New Roman" w:cs="Times New Roman"/>
          <w:color w:val="365F91"/>
          <w:sz w:val="24"/>
          <w:szCs w:val="24"/>
        </w:rPr>
        <w:t>Each Planning Coordinator adjacent to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r>
        <w:rPr>
          <w:rFonts w:ascii="Times New Roman" w:hAnsi="Times New Roman" w:cs="Times New Roman"/>
          <w:color w:val="365F91"/>
          <w:sz w:val="24"/>
          <w:szCs w:val="24"/>
        </w:rPr>
        <w:t>.</w:t>
      </w:r>
    </w:p>
    <w:p w:rsidR="00371485" w:rsidRDefault="00371485" w:rsidP="00371485">
      <w:pPr>
        <w:ind w:left="2160"/>
        <w:rPr>
          <w:rFonts w:ascii="Times New Roman" w:hAnsi="Times New Roman" w:cs="Times New Roman"/>
          <w:color w:val="003366"/>
          <w:sz w:val="24"/>
          <w:szCs w:val="24"/>
        </w:rPr>
      </w:pPr>
    </w:p>
    <w:p w:rsidR="00371485" w:rsidRDefault="00371485" w:rsidP="00371485">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371485">
        <w:rPr>
          <w:rFonts w:ascii="Times New Roman" w:hAnsi="Times New Roman" w:cs="Times New Roman"/>
          <w:color w:val="365F91"/>
          <w:sz w:val="24"/>
          <w:szCs w:val="24"/>
        </w:rPr>
        <w:t>Each RC adjacent to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p>
    <w:p w:rsidR="005E50A4" w:rsidRDefault="005E50A4" w:rsidP="005E50A4">
      <w:pPr>
        <w:widowControl w:val="0"/>
        <w:tabs>
          <w:tab w:val="left" w:pos="60"/>
        </w:tabs>
        <w:spacing w:line="294" w:lineRule="exact"/>
        <w:rPr>
          <w:rFonts w:ascii="Times New Roman" w:hAnsi="Times New Roman" w:cs="Times New Roman"/>
          <w:color w:val="365F91"/>
          <w:sz w:val="24"/>
          <w:szCs w:val="24"/>
        </w:rPr>
      </w:pPr>
    </w:p>
    <w:p w:rsidR="00371485" w:rsidRPr="005E50A4" w:rsidRDefault="00371485" w:rsidP="00371485">
      <w:pPr>
        <w:widowControl w:val="0"/>
        <w:spacing w:line="294" w:lineRule="exact"/>
        <w:ind w:left="162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371485">
        <w:rPr>
          <w:rFonts w:ascii="Times New Roman" w:hAnsi="Times New Roman" w:cs="Times New Roman"/>
          <w:color w:val="365F91"/>
          <w:sz w:val="24"/>
          <w:szCs w:val="24"/>
        </w:rPr>
        <w:t>Each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 xml:space="preserve"> whose area is adjacent to the T</w:t>
      </w:r>
      <w:r>
        <w:rPr>
          <w:rFonts w:ascii="Times New Roman" w:hAnsi="Times New Roman" w:cs="Times New Roman"/>
          <w:color w:val="365F91"/>
          <w:sz w:val="24"/>
          <w:szCs w:val="24"/>
        </w:rPr>
        <w:t>SP</w:t>
      </w:r>
      <w:r w:rsidRPr="00371485">
        <w:rPr>
          <w:rFonts w:ascii="Times New Roman" w:hAnsi="Times New Roman" w:cs="Times New Roman"/>
          <w:color w:val="365F91"/>
          <w:sz w:val="24"/>
          <w:szCs w:val="24"/>
        </w:rPr>
        <w:t>’s area</w:t>
      </w:r>
      <w:r>
        <w:rPr>
          <w:rFonts w:ascii="Times New Roman" w:hAnsi="Times New Roman" w:cs="Times New Roman"/>
          <w:color w:val="365F91"/>
          <w:sz w:val="24"/>
          <w:szCs w:val="24"/>
        </w:rPr>
        <w:t>.</w:t>
      </w:r>
    </w:p>
    <w:p w:rsidR="00371485" w:rsidRDefault="00371485"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Default="005E50A4" w:rsidP="005E50A4">
      <w:pPr>
        <w:widowControl w:val="0"/>
        <w:tabs>
          <w:tab w:val="left" w:pos="60"/>
        </w:tabs>
        <w:spacing w:line="200" w:lineRule="exact"/>
        <w:rPr>
          <w:rFonts w:ascii="Times New Roman" w:hAnsi="Times New Roman" w:cs="Times New Roman"/>
          <w:b/>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bookmarkStart w:id="3" w:name="FERC"/>
      <w:bookmarkEnd w:id="3"/>
      <w:r w:rsidRPr="001F467C">
        <w:rPr>
          <w:rFonts w:ascii="Times New Roman" w:hAnsi="Times New Roman" w:cs="Times New Roman"/>
          <w:sz w:val="24"/>
          <w:szCs w:val="24"/>
        </w:rPr>
        <w:t xml:space="preserve"> </w:t>
      </w:r>
    </w:p>
    <w:p w:rsidR="005E50A4" w:rsidRDefault="005E50A4" w:rsidP="005E50A4">
      <w:pPr>
        <w:widowControl w:val="0"/>
        <w:tabs>
          <w:tab w:val="left" w:pos="60"/>
        </w:tabs>
        <w:spacing w:line="200" w:lineRule="exact"/>
        <w:rPr>
          <w:rFonts w:ascii="Times New Roman" w:hAnsi="Times New Roman" w:cs="Times New Roman"/>
          <w:sz w:val="24"/>
          <w:szCs w:val="24"/>
        </w:rPr>
      </w:pPr>
    </w:p>
    <w:p w:rsidR="000139E0" w:rsidRPr="000139E0" w:rsidRDefault="000139E0" w:rsidP="000139E0">
      <w:pPr>
        <w:pStyle w:val="ListParagraph"/>
        <w:numPr>
          <w:ilvl w:val="0"/>
          <w:numId w:val="19"/>
        </w:numPr>
        <w:tabs>
          <w:tab w:val="clear" w:pos="1116"/>
          <w:tab w:val="num" w:pos="1080"/>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9"/>
        </w:numPr>
        <w:tabs>
          <w:tab w:val="clear" w:pos="1116"/>
          <w:tab w:val="num" w:pos="1080"/>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9"/>
        </w:numPr>
        <w:tabs>
          <w:tab w:val="clear" w:pos="1116"/>
          <w:tab w:val="num" w:pos="1080"/>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9"/>
        </w:numPr>
        <w:tabs>
          <w:tab w:val="clear" w:pos="1116"/>
          <w:tab w:val="num" w:pos="1080"/>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Requirement"/>
        <w:numPr>
          <w:ilvl w:val="0"/>
          <w:numId w:val="19"/>
        </w:numPr>
        <w:tabs>
          <w:tab w:val="clear" w:pos="1116"/>
          <w:tab w:val="num" w:pos="1080"/>
          <w:tab w:val="left" w:pos="2592"/>
        </w:tabs>
        <w:rPr>
          <w:i/>
        </w:rPr>
      </w:pPr>
      <w:r w:rsidRPr="009C72D7">
        <w:t xml:space="preserve">The Transmission Service Provider shall make available the current ATCID to all of the entities specified in R4. </w:t>
      </w:r>
      <w:r w:rsidRPr="000139E0">
        <w:rPr>
          <w:i/>
        </w:rPr>
        <w:t>[Violation Risk Factor: Lower] [Time Horizon: Operations Planning]</w:t>
      </w:r>
    </w:p>
    <w:p w:rsidR="00A52681" w:rsidRPr="001F467C" w:rsidRDefault="00A52681" w:rsidP="00A52681">
      <w:pPr>
        <w:pStyle w:val="Requirement"/>
        <w:numPr>
          <w:ilvl w:val="0"/>
          <w:numId w:val="0"/>
        </w:numPr>
        <w:spacing w:after="0" w:line="360" w:lineRule="exact"/>
      </w:pPr>
    </w:p>
    <w:p w:rsidR="000139E0" w:rsidRDefault="000139E0" w:rsidP="000139E0">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0139E0" w:rsidRPr="009C039C" w:rsidRDefault="000139E0" w:rsidP="000139E0">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139E0" w:rsidRPr="001F467C" w:rsidRDefault="000139E0" w:rsidP="000139E0">
      <w:pPr>
        <w:widowControl w:val="0"/>
        <w:tabs>
          <w:tab w:val="left" w:pos="720"/>
        </w:tabs>
        <w:spacing w:line="186" w:lineRule="exact"/>
        <w:ind w:left="720"/>
        <w:rPr>
          <w:rFonts w:ascii="Times New Roman" w:hAnsi="Times New Roman" w:cs="Times New Roman"/>
          <w:sz w:val="24"/>
          <w:szCs w:val="24"/>
        </w:rPr>
      </w:pPr>
    </w:p>
    <w:p w:rsidR="000139E0" w:rsidRPr="001F467C" w:rsidRDefault="000139E0" w:rsidP="000139E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0139E0" w:rsidRPr="001F467C" w:rsidRDefault="000139E0" w:rsidP="000139E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139E0" w:rsidRDefault="000139E0" w:rsidP="000139E0">
      <w:pPr>
        <w:pStyle w:val="Requirement"/>
        <w:numPr>
          <w:ilvl w:val="0"/>
          <w:numId w:val="0"/>
        </w:numPr>
        <w:tabs>
          <w:tab w:val="left" w:pos="2592"/>
        </w:tabs>
        <w:ind w:left="720" w:hanging="720"/>
      </w:pPr>
    </w:p>
    <w:p w:rsidR="0065170E" w:rsidRPr="00A465E4" w:rsidRDefault="0065170E" w:rsidP="00E26A92">
      <w:pPr>
        <w:pStyle w:val="Heading1"/>
        <w:rPr>
          <w:sz w:val="32"/>
          <w:szCs w:val="32"/>
        </w:rPr>
      </w:pPr>
      <w:r w:rsidRPr="00A465E4">
        <w:rPr>
          <w:sz w:val="32"/>
          <w:szCs w:val="32"/>
        </w:rPr>
        <w:t>R5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0139E0">
      <w:pPr>
        <w:widowControl w:val="0"/>
        <w:tabs>
          <w:tab w:val="left" w:pos="900"/>
          <w:tab w:val="left" w:pos="6360"/>
        </w:tabs>
        <w:spacing w:line="294" w:lineRule="exact"/>
        <w:rPr>
          <w:rFonts w:ascii="Times New Roman" w:hAnsi="Times New Roman" w:cs="Times New Roman"/>
          <w:b/>
          <w:i/>
          <w:iCs/>
          <w:color w:val="C00000"/>
          <w:sz w:val="24"/>
          <w:szCs w:val="24"/>
        </w:rPr>
      </w:pPr>
    </w:p>
    <w:p w:rsidR="000139E0" w:rsidRPr="001F467C" w:rsidRDefault="000139E0" w:rsidP="000139E0">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139E0" w:rsidRDefault="000139E0" w:rsidP="000139E0">
      <w:pPr>
        <w:pStyle w:val="Requirement"/>
        <w:numPr>
          <w:ilvl w:val="0"/>
          <w:numId w:val="0"/>
        </w:numPr>
        <w:tabs>
          <w:tab w:val="left" w:pos="2592"/>
        </w:tabs>
        <w:ind w:left="720" w:hanging="720"/>
      </w:pPr>
    </w:p>
    <w:p w:rsidR="000139E0" w:rsidRPr="001F467C" w:rsidRDefault="000139E0" w:rsidP="000139E0">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003366"/>
          <w:sz w:val="24"/>
          <w:szCs w:val="24"/>
        </w:rPr>
        <w:t>MOD-001</w:t>
      </w:r>
      <w:r>
        <w:rPr>
          <w:rFonts w:ascii="Times New Roman" w:hAnsi="Times New Roman" w:cs="Times New Roman"/>
          <w:b/>
          <w:bCs/>
          <w:color w:val="264D74"/>
          <w:sz w:val="24"/>
          <w:szCs w:val="24"/>
        </w:rPr>
        <w:t>-1</w:t>
      </w:r>
      <w:r w:rsidR="00AB1317">
        <w:rPr>
          <w:rFonts w:ascii="Times New Roman" w:hAnsi="Times New Roman" w:cs="Times New Roman"/>
          <w:b/>
          <w:bCs/>
          <w:color w:val="264D74"/>
          <w:sz w:val="24"/>
          <w:szCs w:val="24"/>
        </w:rPr>
        <w:t>a</w:t>
      </w:r>
      <w:r>
        <w:rPr>
          <w:rFonts w:ascii="Times New Roman" w:hAnsi="Times New Roman" w:cs="Times New Roman"/>
          <w:b/>
          <w:bCs/>
          <w:color w:val="264D74"/>
          <w:sz w:val="24"/>
          <w:szCs w:val="24"/>
        </w:rPr>
        <w:t xml:space="preserve"> R5</w:t>
      </w:r>
    </w:p>
    <w:p w:rsidR="000139E0" w:rsidRPr="001F467C" w:rsidRDefault="000139E0" w:rsidP="000139E0">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0139E0" w:rsidRDefault="000139E0" w:rsidP="0080627C">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80627C">
        <w:rPr>
          <w:rFonts w:ascii="Times New Roman" w:hAnsi="Times New Roman" w:cs="Times New Roman"/>
          <w:color w:val="365F91"/>
          <w:sz w:val="24"/>
          <w:szCs w:val="24"/>
        </w:rPr>
        <w:t>Verify t</w:t>
      </w:r>
      <w:r w:rsidR="0080627C" w:rsidRPr="0080627C">
        <w:rPr>
          <w:rFonts w:ascii="Times New Roman" w:hAnsi="Times New Roman" w:cs="Times New Roman"/>
          <w:color w:val="365F91"/>
          <w:sz w:val="24"/>
          <w:szCs w:val="24"/>
        </w:rPr>
        <w:t>he T</w:t>
      </w:r>
      <w:r w:rsidR="0080627C">
        <w:rPr>
          <w:rFonts w:ascii="Times New Roman" w:hAnsi="Times New Roman" w:cs="Times New Roman"/>
          <w:color w:val="365F91"/>
          <w:sz w:val="24"/>
          <w:szCs w:val="24"/>
        </w:rPr>
        <w:t>SP</w:t>
      </w:r>
      <w:r w:rsidR="0080627C" w:rsidRPr="0080627C">
        <w:rPr>
          <w:rFonts w:ascii="Times New Roman" w:hAnsi="Times New Roman" w:cs="Times New Roman"/>
          <w:color w:val="365F91"/>
          <w:sz w:val="24"/>
          <w:szCs w:val="24"/>
        </w:rPr>
        <w:t xml:space="preserve"> ma</w:t>
      </w:r>
      <w:r w:rsidR="0080627C">
        <w:rPr>
          <w:rFonts w:ascii="Times New Roman" w:hAnsi="Times New Roman" w:cs="Times New Roman"/>
          <w:color w:val="365F91"/>
          <w:sz w:val="24"/>
          <w:szCs w:val="24"/>
        </w:rPr>
        <w:t>d</w:t>
      </w:r>
      <w:r w:rsidR="0080627C" w:rsidRPr="0080627C">
        <w:rPr>
          <w:rFonts w:ascii="Times New Roman" w:hAnsi="Times New Roman" w:cs="Times New Roman"/>
          <w:color w:val="365F91"/>
          <w:sz w:val="24"/>
          <w:szCs w:val="24"/>
        </w:rPr>
        <w:t>e available the current ATCID to all of the entities specified in R4</w:t>
      </w:r>
      <w:r w:rsidR="0080627C">
        <w:rPr>
          <w:rFonts w:ascii="Times New Roman" w:hAnsi="Times New Roman" w:cs="Times New Roman"/>
          <w:color w:val="365F91"/>
          <w:sz w:val="24"/>
          <w:szCs w:val="24"/>
        </w:rPr>
        <w:t>.</w:t>
      </w:r>
    </w:p>
    <w:p w:rsidR="0080627C" w:rsidRDefault="0080627C" w:rsidP="0080627C">
      <w:pPr>
        <w:ind w:left="360"/>
        <w:rPr>
          <w:rFonts w:ascii="Times New Roman" w:hAnsi="Times New Roman" w:cs="Times New Roman"/>
          <w:color w:val="365F91"/>
          <w:sz w:val="24"/>
          <w:szCs w:val="24"/>
        </w:rPr>
      </w:pPr>
    </w:p>
    <w:p w:rsidR="000139E0" w:rsidRPr="001F467C" w:rsidRDefault="000139E0" w:rsidP="000139E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139E0" w:rsidRPr="001F467C" w:rsidRDefault="000139E0" w:rsidP="000139E0">
      <w:pPr>
        <w:widowControl w:val="0"/>
        <w:shd w:val="clear" w:color="auto" w:fill="D3DCE9"/>
        <w:tabs>
          <w:tab w:val="left" w:pos="720"/>
        </w:tabs>
        <w:spacing w:line="294" w:lineRule="exact"/>
        <w:rPr>
          <w:rFonts w:ascii="Times New Roman" w:hAnsi="Times New Roman" w:cs="Times New Roman"/>
          <w:bCs/>
          <w:color w:val="264D74"/>
          <w:sz w:val="24"/>
          <w:szCs w:val="24"/>
        </w:rPr>
      </w:pPr>
    </w:p>
    <w:p w:rsidR="000139E0" w:rsidRPr="001F467C" w:rsidRDefault="000139E0" w:rsidP="000139E0">
      <w:pPr>
        <w:widowControl w:val="0"/>
        <w:shd w:val="clear" w:color="auto" w:fill="D3DCE9"/>
        <w:tabs>
          <w:tab w:val="left" w:pos="720"/>
        </w:tabs>
        <w:spacing w:line="294" w:lineRule="exact"/>
        <w:rPr>
          <w:rFonts w:ascii="Times New Roman" w:hAnsi="Times New Roman" w:cs="Times New Roman"/>
          <w:bCs/>
          <w:color w:val="264D74"/>
          <w:sz w:val="24"/>
          <w:szCs w:val="24"/>
        </w:rPr>
      </w:pPr>
    </w:p>
    <w:p w:rsidR="000139E0" w:rsidRPr="001F467C" w:rsidRDefault="000139E0" w:rsidP="000139E0">
      <w:pPr>
        <w:widowControl w:val="0"/>
        <w:tabs>
          <w:tab w:val="left" w:pos="900"/>
          <w:tab w:val="left" w:pos="6360"/>
        </w:tabs>
        <w:spacing w:line="294" w:lineRule="exact"/>
        <w:rPr>
          <w:rFonts w:ascii="Times New Roman" w:hAnsi="Times New Roman" w:cs="Times New Roman"/>
          <w:b/>
          <w:bCs/>
          <w:color w:val="264D74"/>
          <w:sz w:val="24"/>
          <w:szCs w:val="24"/>
        </w:rPr>
      </w:pPr>
    </w:p>
    <w:p w:rsidR="000139E0" w:rsidRDefault="000139E0" w:rsidP="000139E0">
      <w:pPr>
        <w:widowControl w:val="0"/>
        <w:tabs>
          <w:tab w:val="left" w:pos="60"/>
        </w:tabs>
        <w:spacing w:line="200" w:lineRule="exact"/>
        <w:rPr>
          <w:rFonts w:ascii="Times New Roman" w:hAnsi="Times New Roman" w:cs="Times New Roman"/>
          <w:b/>
          <w:sz w:val="24"/>
          <w:szCs w:val="24"/>
        </w:rPr>
      </w:pPr>
    </w:p>
    <w:p w:rsidR="000139E0" w:rsidRDefault="000139E0" w:rsidP="000139E0">
      <w:pPr>
        <w:ind w:left="360"/>
        <w:rPr>
          <w:rFonts w:ascii="Times New Roman" w:hAnsi="Times New Roman" w:cs="Times New Roman"/>
          <w:color w:val="365F91"/>
          <w:sz w:val="24"/>
          <w:szCs w:val="24"/>
        </w:rPr>
      </w:pPr>
    </w:p>
    <w:p w:rsidR="000139E0" w:rsidRPr="000139E0" w:rsidRDefault="000139E0" w:rsidP="000139E0">
      <w:pPr>
        <w:pStyle w:val="ListParagraph"/>
        <w:numPr>
          <w:ilvl w:val="0"/>
          <w:numId w:val="20"/>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0"/>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0"/>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0"/>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0"/>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9C72D7" w:rsidRDefault="000139E0" w:rsidP="000139E0">
      <w:pPr>
        <w:pStyle w:val="Requirement"/>
        <w:numPr>
          <w:ilvl w:val="0"/>
          <w:numId w:val="20"/>
        </w:numPr>
        <w:tabs>
          <w:tab w:val="clear" w:pos="1116"/>
          <w:tab w:val="num" w:pos="1080"/>
          <w:tab w:val="left" w:pos="2592"/>
          <w:tab w:val="left" w:pos="3060"/>
        </w:tabs>
      </w:pPr>
      <w:r w:rsidRPr="009C72D7">
        <w:t xml:space="preserve">When calculating Total Transfer Capability (TTC) or Total Flowgate Capability (TFC) the Transmission Operator shall use assumptions no more limiting than those used in the planning of operations for the corresponding time period studied, providing such planning of operations has been performed for that time period.  </w:t>
      </w:r>
      <w:r w:rsidRPr="000139E0">
        <w:rPr>
          <w:i/>
        </w:rPr>
        <w:t>[Violation Risk Factor: Lower] [Time Horizon: Operations Planning]</w:t>
      </w:r>
    </w:p>
    <w:p w:rsidR="000139E0" w:rsidRPr="005E50A4" w:rsidRDefault="000139E0" w:rsidP="000139E0">
      <w:pPr>
        <w:ind w:left="360"/>
        <w:rPr>
          <w:rFonts w:ascii="Times New Roman" w:hAnsi="Times New Roman" w:cs="Times New Roman"/>
          <w:color w:val="365F91"/>
          <w:sz w:val="24"/>
          <w:szCs w:val="24"/>
        </w:rPr>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65170E" w:rsidRPr="00A465E4" w:rsidRDefault="0065170E" w:rsidP="00E26A92">
      <w:pPr>
        <w:pStyle w:val="Heading1"/>
        <w:rPr>
          <w:sz w:val="32"/>
          <w:szCs w:val="32"/>
        </w:rPr>
      </w:pPr>
      <w:r w:rsidRPr="00A465E4">
        <w:rPr>
          <w:sz w:val="32"/>
          <w:szCs w:val="32"/>
        </w:rPr>
        <w:t>R6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MOD-001</w:t>
      </w:r>
      <w:r>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8E7CBF">
        <w:rPr>
          <w:rFonts w:ascii="Times New Roman" w:hAnsi="Times New Roman" w:cs="Times New Roman"/>
          <w:b/>
          <w:bCs/>
          <w:color w:val="003366"/>
          <w:sz w:val="24"/>
          <w:szCs w:val="24"/>
        </w:rPr>
        <w:t>6</w:t>
      </w:r>
    </w:p>
    <w:p w:rsidR="00A52681" w:rsidRPr="005E50A4" w:rsidRDefault="00A52681" w:rsidP="00A52681">
      <w:pPr>
        <w:rPr>
          <w:rFonts w:ascii="Times New Roman" w:hAnsi="Times New Roman" w:cs="Times New Roman"/>
          <w:color w:val="365F91"/>
          <w:sz w:val="24"/>
          <w:szCs w:val="24"/>
        </w:rPr>
      </w:pPr>
    </w:p>
    <w:p w:rsidR="00A52681" w:rsidRDefault="00A52681" w:rsidP="0080627C">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80627C">
        <w:rPr>
          <w:rFonts w:ascii="Times New Roman" w:hAnsi="Times New Roman" w:cs="Times New Roman"/>
          <w:color w:val="365F91"/>
          <w:sz w:val="24"/>
          <w:szCs w:val="24"/>
        </w:rPr>
        <w:t>Verify that w</w:t>
      </w:r>
      <w:r w:rsidR="0080627C" w:rsidRPr="0080627C">
        <w:rPr>
          <w:rFonts w:ascii="Times New Roman" w:hAnsi="Times New Roman" w:cs="Times New Roman"/>
          <w:color w:val="365F91"/>
          <w:sz w:val="24"/>
          <w:szCs w:val="24"/>
        </w:rPr>
        <w:t>hen calculating TTC or TFC</w:t>
      </w:r>
      <w:r w:rsidR="0080627C">
        <w:rPr>
          <w:rFonts w:ascii="Times New Roman" w:hAnsi="Times New Roman" w:cs="Times New Roman"/>
          <w:color w:val="365F91"/>
          <w:sz w:val="24"/>
          <w:szCs w:val="24"/>
        </w:rPr>
        <w:t>,</w:t>
      </w:r>
      <w:r w:rsidR="0080627C" w:rsidRPr="0080627C">
        <w:rPr>
          <w:rFonts w:ascii="Times New Roman" w:hAnsi="Times New Roman" w:cs="Times New Roman"/>
          <w:color w:val="365F91"/>
          <w:sz w:val="24"/>
          <w:szCs w:val="24"/>
        </w:rPr>
        <w:t xml:space="preserve"> the T</w:t>
      </w:r>
      <w:r w:rsidR="0080627C">
        <w:rPr>
          <w:rFonts w:ascii="Times New Roman" w:hAnsi="Times New Roman" w:cs="Times New Roman"/>
          <w:color w:val="365F91"/>
          <w:sz w:val="24"/>
          <w:szCs w:val="24"/>
        </w:rPr>
        <w:t>OP</w:t>
      </w:r>
      <w:r w:rsidR="0080627C" w:rsidRPr="0080627C">
        <w:rPr>
          <w:rFonts w:ascii="Times New Roman" w:hAnsi="Times New Roman" w:cs="Times New Roman"/>
          <w:color w:val="365F91"/>
          <w:sz w:val="24"/>
          <w:szCs w:val="24"/>
        </w:rPr>
        <w:t xml:space="preserve"> use</w:t>
      </w:r>
      <w:r w:rsidR="0080627C">
        <w:rPr>
          <w:rFonts w:ascii="Times New Roman" w:hAnsi="Times New Roman" w:cs="Times New Roman"/>
          <w:color w:val="365F91"/>
          <w:sz w:val="24"/>
          <w:szCs w:val="24"/>
        </w:rPr>
        <w:t>d</w:t>
      </w:r>
      <w:r w:rsidR="0080627C" w:rsidRPr="0080627C">
        <w:rPr>
          <w:rFonts w:ascii="Times New Roman" w:hAnsi="Times New Roman" w:cs="Times New Roman"/>
          <w:color w:val="365F91"/>
          <w:sz w:val="24"/>
          <w:szCs w:val="24"/>
        </w:rPr>
        <w:t xml:space="preserve"> assumptions no more limiting than those used in the planning of operations for the corresponding time period studied, providing such planning of operations ha</w:t>
      </w:r>
      <w:r w:rsidR="00CA7084">
        <w:rPr>
          <w:rFonts w:ascii="Times New Roman" w:hAnsi="Times New Roman" w:cs="Times New Roman"/>
          <w:color w:val="365F91"/>
          <w:sz w:val="24"/>
          <w:szCs w:val="24"/>
        </w:rPr>
        <w:t>d</w:t>
      </w:r>
      <w:r w:rsidR="0080627C" w:rsidRPr="0080627C">
        <w:rPr>
          <w:rFonts w:ascii="Times New Roman" w:hAnsi="Times New Roman" w:cs="Times New Roman"/>
          <w:color w:val="365F91"/>
          <w:sz w:val="24"/>
          <w:szCs w:val="24"/>
        </w:rPr>
        <w:t xml:space="preserve"> been performed for that time period</w:t>
      </w:r>
      <w:r w:rsidR="0080627C">
        <w:rPr>
          <w:rFonts w:ascii="Times New Roman" w:hAnsi="Times New Roman" w:cs="Times New Roman"/>
          <w:color w:val="365F91"/>
          <w:sz w:val="24"/>
          <w:szCs w:val="24"/>
        </w:rPr>
        <w:t>.</w:t>
      </w:r>
    </w:p>
    <w:p w:rsidR="0080627C" w:rsidRPr="005E50A4" w:rsidRDefault="0080627C" w:rsidP="0080627C">
      <w:pPr>
        <w:ind w:left="1530" w:hanging="451"/>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A52681" w:rsidRDefault="00A52681" w:rsidP="00A52681">
      <w:pPr>
        <w:pStyle w:val="Requirement"/>
        <w:numPr>
          <w:ilvl w:val="0"/>
          <w:numId w:val="0"/>
        </w:numPr>
        <w:spacing w:after="0" w:line="360" w:lineRule="exact"/>
      </w:pPr>
    </w:p>
    <w:p w:rsidR="00A465E4" w:rsidRDefault="00A465E4" w:rsidP="00A52681">
      <w:pPr>
        <w:pStyle w:val="Requirement"/>
        <w:numPr>
          <w:ilvl w:val="0"/>
          <w:numId w:val="0"/>
        </w:numPr>
        <w:spacing w:after="0" w:line="360" w:lineRule="exact"/>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22"/>
        </w:numPr>
        <w:tabs>
          <w:tab w:val="clear" w:pos="1116"/>
          <w:tab w:val="num" w:pos="1080"/>
          <w:tab w:val="left" w:pos="2592"/>
          <w:tab w:val="left" w:pos="3060"/>
          <w:tab w:val="left" w:pos="3240"/>
        </w:tabs>
        <w:autoSpaceDE/>
        <w:autoSpaceDN/>
        <w:adjustRightInd/>
        <w:spacing w:after="120"/>
        <w:rPr>
          <w:rFonts w:ascii="Times New Roman" w:hAnsi="Times New Roman" w:cs="Times New Roman"/>
          <w:vanish/>
          <w:sz w:val="24"/>
          <w:szCs w:val="24"/>
        </w:rPr>
      </w:pPr>
    </w:p>
    <w:p w:rsidR="000139E0" w:rsidRPr="009C72D7" w:rsidRDefault="000139E0" w:rsidP="000139E0">
      <w:pPr>
        <w:pStyle w:val="Requirement"/>
        <w:numPr>
          <w:ilvl w:val="0"/>
          <w:numId w:val="22"/>
        </w:numPr>
        <w:tabs>
          <w:tab w:val="clear" w:pos="1116"/>
          <w:tab w:val="num" w:pos="1080"/>
          <w:tab w:val="left" w:pos="2592"/>
          <w:tab w:val="left" w:pos="3060"/>
        </w:tabs>
      </w:pPr>
      <w:r w:rsidRPr="009C72D7">
        <w:t xml:space="preserve">When calculating ATC or AFC the Transmission Service Provider shall use assumptions no more limiting than those used in the planning of operations for the corresponding time period studied, providing such planning of operations has been performed for that time period.  </w:t>
      </w:r>
      <w:r w:rsidRPr="000139E0">
        <w:rPr>
          <w:i/>
        </w:rPr>
        <w:t>[Violation Risk Factor: Lower] [Time Horizon: Operations Planning]</w:t>
      </w:r>
    </w:p>
    <w:p w:rsidR="000139E0" w:rsidRPr="001F467C" w:rsidRDefault="000139E0"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65170E" w:rsidRPr="00A465E4" w:rsidRDefault="0065170E" w:rsidP="00E26A92">
      <w:pPr>
        <w:pStyle w:val="Heading1"/>
        <w:rPr>
          <w:sz w:val="32"/>
          <w:szCs w:val="32"/>
        </w:rPr>
      </w:pPr>
      <w:r w:rsidRPr="00A465E4">
        <w:rPr>
          <w:sz w:val="32"/>
          <w:szCs w:val="32"/>
        </w:rPr>
        <w:t>R7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MOD-001</w:t>
      </w:r>
      <w:r>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8E7CBF">
        <w:rPr>
          <w:rFonts w:ascii="Times New Roman" w:hAnsi="Times New Roman" w:cs="Times New Roman"/>
          <w:b/>
          <w:bCs/>
          <w:color w:val="003366"/>
          <w:sz w:val="24"/>
          <w:szCs w:val="24"/>
        </w:rPr>
        <w:t>7</w:t>
      </w:r>
    </w:p>
    <w:p w:rsidR="00A52681" w:rsidRPr="005E50A4" w:rsidRDefault="00A52681" w:rsidP="00A52681">
      <w:pPr>
        <w:rPr>
          <w:rFonts w:ascii="Times New Roman" w:hAnsi="Times New Roman" w:cs="Times New Roman"/>
          <w:color w:val="365F91"/>
          <w:sz w:val="24"/>
          <w:szCs w:val="24"/>
        </w:rPr>
      </w:pPr>
    </w:p>
    <w:p w:rsidR="00A52681" w:rsidRDefault="00A52681" w:rsidP="00797AE3">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797AE3">
        <w:rPr>
          <w:rFonts w:ascii="Times New Roman" w:hAnsi="Times New Roman" w:cs="Times New Roman"/>
          <w:color w:val="365F91"/>
          <w:sz w:val="24"/>
          <w:szCs w:val="24"/>
        </w:rPr>
        <w:t>Verify that w</w:t>
      </w:r>
      <w:r w:rsidR="00797AE3" w:rsidRPr="00797AE3">
        <w:rPr>
          <w:rFonts w:ascii="Times New Roman" w:hAnsi="Times New Roman" w:cs="Times New Roman"/>
          <w:color w:val="365F91"/>
          <w:sz w:val="24"/>
          <w:szCs w:val="24"/>
        </w:rPr>
        <w:t>hen calculating ATC or AFC</w:t>
      </w:r>
      <w:r w:rsidR="00797AE3">
        <w:rPr>
          <w:rFonts w:ascii="Times New Roman" w:hAnsi="Times New Roman" w:cs="Times New Roman"/>
          <w:color w:val="365F91"/>
          <w:sz w:val="24"/>
          <w:szCs w:val="24"/>
        </w:rPr>
        <w:t>,</w:t>
      </w:r>
      <w:r w:rsidR="00797AE3" w:rsidRPr="00797AE3">
        <w:rPr>
          <w:rFonts w:ascii="Times New Roman" w:hAnsi="Times New Roman" w:cs="Times New Roman"/>
          <w:color w:val="365F91"/>
          <w:sz w:val="24"/>
          <w:szCs w:val="24"/>
        </w:rPr>
        <w:t xml:space="preserve"> the T</w:t>
      </w:r>
      <w:r w:rsidR="00797AE3">
        <w:rPr>
          <w:rFonts w:ascii="Times New Roman" w:hAnsi="Times New Roman" w:cs="Times New Roman"/>
          <w:color w:val="365F91"/>
          <w:sz w:val="24"/>
          <w:szCs w:val="24"/>
        </w:rPr>
        <w:t>SP</w:t>
      </w:r>
      <w:r w:rsidR="00797AE3" w:rsidRPr="00797AE3">
        <w:rPr>
          <w:rFonts w:ascii="Times New Roman" w:hAnsi="Times New Roman" w:cs="Times New Roman"/>
          <w:color w:val="365F91"/>
          <w:sz w:val="24"/>
          <w:szCs w:val="24"/>
        </w:rPr>
        <w:t xml:space="preserve"> use</w:t>
      </w:r>
      <w:r w:rsidR="00797AE3">
        <w:rPr>
          <w:rFonts w:ascii="Times New Roman" w:hAnsi="Times New Roman" w:cs="Times New Roman"/>
          <w:color w:val="365F91"/>
          <w:sz w:val="24"/>
          <w:szCs w:val="24"/>
        </w:rPr>
        <w:t>d</w:t>
      </w:r>
      <w:r w:rsidR="00797AE3" w:rsidRPr="00797AE3">
        <w:rPr>
          <w:rFonts w:ascii="Times New Roman" w:hAnsi="Times New Roman" w:cs="Times New Roman"/>
          <w:color w:val="365F91"/>
          <w:sz w:val="24"/>
          <w:szCs w:val="24"/>
        </w:rPr>
        <w:t xml:space="preserve"> assumptions no more limiting than those used in the planning of operations for the corresponding time period studied, providing</w:t>
      </w:r>
      <w:r w:rsidR="00CA7084">
        <w:rPr>
          <w:rFonts w:ascii="Times New Roman" w:hAnsi="Times New Roman" w:cs="Times New Roman"/>
          <w:color w:val="365F91"/>
          <w:sz w:val="24"/>
          <w:szCs w:val="24"/>
        </w:rPr>
        <w:t xml:space="preserve"> such planning of operations had</w:t>
      </w:r>
      <w:r w:rsidR="00797AE3" w:rsidRPr="00797AE3">
        <w:rPr>
          <w:rFonts w:ascii="Times New Roman" w:hAnsi="Times New Roman" w:cs="Times New Roman"/>
          <w:color w:val="365F91"/>
          <w:sz w:val="24"/>
          <w:szCs w:val="24"/>
        </w:rPr>
        <w:t xml:space="preserve"> been performed for that time period</w:t>
      </w:r>
      <w:r w:rsidR="00797AE3">
        <w:rPr>
          <w:rFonts w:ascii="Times New Roman" w:hAnsi="Times New Roman" w:cs="Times New Roman"/>
          <w:color w:val="365F91"/>
          <w:sz w:val="24"/>
          <w:szCs w:val="24"/>
        </w:rPr>
        <w:t>.</w:t>
      </w:r>
    </w:p>
    <w:p w:rsidR="00797AE3" w:rsidRPr="005E50A4" w:rsidRDefault="00797AE3" w:rsidP="00797AE3">
      <w:pPr>
        <w:ind w:left="1530" w:hanging="451"/>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465E4" w:rsidRDefault="00A465E4"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465E4" w:rsidRPr="001F467C" w:rsidRDefault="00A465E4"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0139E0" w:rsidRDefault="000139E0" w:rsidP="000139E0">
      <w:pPr>
        <w:pStyle w:val="Requirement"/>
        <w:tabs>
          <w:tab w:val="clear" w:pos="720"/>
          <w:tab w:val="clear" w:pos="1116"/>
          <w:tab w:val="num" w:pos="1080"/>
          <w:tab w:val="left" w:pos="2592"/>
        </w:tabs>
        <w:ind w:left="1080" w:hanging="576"/>
      </w:pPr>
      <w:r w:rsidRPr="009C72D7">
        <w:t>Each Transmission Service Provider that calculates ATC shall recalculate ATC at a minimum on the following frequency, unless none of the calculated values identified in the ATC equation have changed:  [Violation Risk Factor: Lower] [Time Horizon: Operations Planning]</w:t>
      </w: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vanish/>
          <w:sz w:val="24"/>
          <w:szCs w:val="24"/>
        </w:rPr>
      </w:pP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vanish/>
          <w:sz w:val="24"/>
          <w:szCs w:val="24"/>
        </w:rPr>
      </w:pPr>
    </w:p>
    <w:p w:rsidR="000139E0" w:rsidRDefault="000139E0" w:rsidP="000139E0">
      <w:pPr>
        <w:pStyle w:val="Requirement"/>
        <w:numPr>
          <w:ilvl w:val="1"/>
          <w:numId w:val="18"/>
        </w:numPr>
        <w:tabs>
          <w:tab w:val="clear" w:pos="1726"/>
          <w:tab w:val="left" w:pos="2592"/>
        </w:tabs>
      </w:pPr>
      <w:r w:rsidRPr="009C72D7">
        <w:t xml:space="preserve">Hourly values, once per hour.  Transmission Service Providers are allowed up to 175 hours per calendar year during which calculations are not required to be performed, despite a change in a calculated value identified in the ATC equation.  </w:t>
      </w:r>
    </w:p>
    <w:p w:rsidR="000139E0" w:rsidRDefault="000139E0" w:rsidP="000139E0">
      <w:pPr>
        <w:pStyle w:val="Requirement"/>
        <w:numPr>
          <w:ilvl w:val="1"/>
          <w:numId w:val="18"/>
        </w:numPr>
        <w:tabs>
          <w:tab w:val="clear" w:pos="1726"/>
          <w:tab w:val="left" w:pos="2592"/>
        </w:tabs>
      </w:pPr>
      <w:r w:rsidRPr="009C72D7">
        <w:t>Daily values, once per day.</w:t>
      </w:r>
    </w:p>
    <w:p w:rsidR="000139E0" w:rsidRPr="009C72D7" w:rsidRDefault="000139E0" w:rsidP="000139E0">
      <w:pPr>
        <w:pStyle w:val="Requirement"/>
        <w:numPr>
          <w:ilvl w:val="1"/>
          <w:numId w:val="18"/>
        </w:numPr>
        <w:tabs>
          <w:tab w:val="clear" w:pos="1726"/>
          <w:tab w:val="left" w:pos="2592"/>
        </w:tabs>
      </w:pPr>
      <w:r w:rsidRPr="009C72D7">
        <w:t>Monthly values, once per week.</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65170E" w:rsidRPr="00A465E4" w:rsidRDefault="0065170E" w:rsidP="00E26A92">
      <w:pPr>
        <w:pStyle w:val="Heading1"/>
        <w:rPr>
          <w:sz w:val="32"/>
          <w:szCs w:val="32"/>
        </w:rPr>
      </w:pPr>
      <w:r w:rsidRPr="00A465E4">
        <w:rPr>
          <w:sz w:val="32"/>
          <w:szCs w:val="32"/>
        </w:rPr>
        <w:t>R8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MOD-001</w:t>
      </w:r>
      <w:r>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8E7CBF">
        <w:rPr>
          <w:rFonts w:ascii="Times New Roman" w:hAnsi="Times New Roman" w:cs="Times New Roman"/>
          <w:b/>
          <w:bCs/>
          <w:color w:val="003366"/>
          <w:sz w:val="24"/>
          <w:szCs w:val="24"/>
        </w:rPr>
        <w:t>8</w:t>
      </w:r>
    </w:p>
    <w:p w:rsidR="00A52681" w:rsidRPr="005E50A4" w:rsidRDefault="00A52681" w:rsidP="00A52681">
      <w:pPr>
        <w:rPr>
          <w:rFonts w:ascii="Times New Roman" w:hAnsi="Times New Roman" w:cs="Times New Roman"/>
          <w:color w:val="365F91"/>
          <w:sz w:val="24"/>
          <w:szCs w:val="24"/>
        </w:rPr>
      </w:pPr>
    </w:p>
    <w:p w:rsidR="00797AE3" w:rsidRDefault="00797AE3" w:rsidP="00CA7084">
      <w:pPr>
        <w:widowControl w:val="0"/>
        <w:spacing w:line="284" w:lineRule="exact"/>
        <w:ind w:left="1260" w:hanging="54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00DC78CD">
        <w:rPr>
          <w:rFonts w:ascii="Times New Roman" w:hAnsi="Times New Roman" w:cs="Times New Roman"/>
          <w:color w:val="365F91"/>
          <w:sz w:val="24"/>
          <w:szCs w:val="24"/>
        </w:rPr>
        <w:t>Verify the TSP</w:t>
      </w:r>
      <w:r w:rsidR="00DC78CD" w:rsidRPr="00DC78CD">
        <w:rPr>
          <w:rFonts w:ascii="Times New Roman" w:hAnsi="Times New Roman" w:cs="Times New Roman"/>
          <w:color w:val="365F91"/>
          <w:sz w:val="24"/>
          <w:szCs w:val="24"/>
        </w:rPr>
        <w:t xml:space="preserve"> that calculates ATC recalculate</w:t>
      </w:r>
      <w:r w:rsidR="00CA7084">
        <w:rPr>
          <w:rFonts w:ascii="Times New Roman" w:hAnsi="Times New Roman" w:cs="Times New Roman"/>
          <w:color w:val="365F91"/>
          <w:sz w:val="24"/>
          <w:szCs w:val="24"/>
        </w:rPr>
        <w:t>d</w:t>
      </w:r>
      <w:r w:rsidR="00DC78CD" w:rsidRPr="00DC78CD">
        <w:rPr>
          <w:rFonts w:ascii="Times New Roman" w:hAnsi="Times New Roman" w:cs="Times New Roman"/>
          <w:color w:val="365F91"/>
          <w:sz w:val="24"/>
          <w:szCs w:val="24"/>
        </w:rPr>
        <w:t xml:space="preserve"> ATC at a minimum on the following frequency, unless none of the calculated values identified in the ATC equation ha</w:t>
      </w:r>
      <w:r w:rsidR="00CA7084">
        <w:rPr>
          <w:rFonts w:ascii="Times New Roman" w:hAnsi="Times New Roman" w:cs="Times New Roman"/>
          <w:color w:val="365F91"/>
          <w:sz w:val="24"/>
          <w:szCs w:val="24"/>
        </w:rPr>
        <w:t>d</w:t>
      </w:r>
      <w:r w:rsidR="00DC78CD" w:rsidRPr="00DC78CD">
        <w:rPr>
          <w:rFonts w:ascii="Times New Roman" w:hAnsi="Times New Roman" w:cs="Times New Roman"/>
          <w:color w:val="365F91"/>
          <w:sz w:val="24"/>
          <w:szCs w:val="24"/>
        </w:rPr>
        <w:t xml:space="preserve"> changed</w:t>
      </w:r>
      <w:r>
        <w:rPr>
          <w:rFonts w:ascii="Times New Roman" w:hAnsi="Times New Roman" w:cs="Times New Roman"/>
          <w:color w:val="365F91"/>
          <w:sz w:val="24"/>
          <w:szCs w:val="24"/>
        </w:rPr>
        <w:t>:</w:t>
      </w:r>
    </w:p>
    <w:p w:rsidR="00797AE3" w:rsidRDefault="00797AE3" w:rsidP="00797AE3">
      <w:pPr>
        <w:widowControl w:val="0"/>
        <w:tabs>
          <w:tab w:val="left" w:pos="1080"/>
        </w:tabs>
        <w:spacing w:line="284" w:lineRule="exact"/>
        <w:ind w:left="1620" w:hanging="1620"/>
        <w:rPr>
          <w:rFonts w:ascii="Times New Roman" w:hAnsi="Times New Roman" w:cs="Times New Roman"/>
          <w:color w:val="365F91"/>
          <w:sz w:val="24"/>
          <w:szCs w:val="24"/>
        </w:rPr>
      </w:pPr>
    </w:p>
    <w:p w:rsidR="00797AE3" w:rsidRDefault="00797AE3" w:rsidP="00CA7084">
      <w:pPr>
        <w:widowControl w:val="0"/>
        <w:tabs>
          <w:tab w:val="left" w:pos="1080"/>
        </w:tabs>
        <w:spacing w:line="284" w:lineRule="exact"/>
        <w:ind w:left="1260" w:hanging="12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371485">
        <w:t xml:space="preserve"> </w:t>
      </w:r>
      <w:r w:rsidR="00DC78CD">
        <w:rPr>
          <w:rFonts w:ascii="Times New Roman" w:hAnsi="Times New Roman" w:cs="Times New Roman"/>
          <w:color w:val="365F91"/>
          <w:sz w:val="24"/>
          <w:szCs w:val="24"/>
        </w:rPr>
        <w:t xml:space="preserve">Hourly values, once per hour, </w:t>
      </w:r>
    </w:p>
    <w:p w:rsidR="00CA7084" w:rsidRDefault="00CA7084" w:rsidP="00797AE3">
      <w:pPr>
        <w:widowControl w:val="0"/>
        <w:tabs>
          <w:tab w:val="left" w:pos="1080"/>
        </w:tabs>
        <w:spacing w:line="284" w:lineRule="exact"/>
        <w:ind w:left="1620" w:hanging="1620"/>
        <w:rPr>
          <w:rFonts w:ascii="Times New Roman" w:hAnsi="Times New Roman" w:cs="Times New Roman"/>
          <w:color w:val="365F91"/>
          <w:sz w:val="24"/>
          <w:szCs w:val="24"/>
        </w:rPr>
      </w:pPr>
    </w:p>
    <w:p w:rsidR="00797AE3" w:rsidRPr="00A74C27" w:rsidRDefault="00CA7084" w:rsidP="00CA7084">
      <w:pPr>
        <w:widowControl w:val="0"/>
        <w:spacing w:line="284" w:lineRule="exact"/>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797AE3">
        <w:rPr>
          <w:rFonts w:ascii="Times New Roman" w:hAnsi="Times New Roman" w:cs="Times New Roman"/>
          <w:color w:val="365F91"/>
          <w:sz w:val="24"/>
          <w:szCs w:val="24"/>
        </w:rPr>
        <w:t>____</w:t>
      </w:r>
      <w:r w:rsidR="00797AE3" w:rsidRPr="004F2D45">
        <w:t xml:space="preserve"> </w:t>
      </w:r>
      <w:r w:rsidR="00DC78CD" w:rsidRPr="00DC78CD">
        <w:rPr>
          <w:rFonts w:ascii="Times New Roman" w:hAnsi="Times New Roman" w:cs="Times New Roman"/>
          <w:color w:val="365F91"/>
          <w:sz w:val="24"/>
          <w:szCs w:val="24"/>
        </w:rPr>
        <w:t>Daily values, once per day</w:t>
      </w:r>
    </w:p>
    <w:p w:rsidR="00797AE3" w:rsidRDefault="00797AE3" w:rsidP="00DC78CD">
      <w:pPr>
        <w:widowControl w:val="0"/>
        <w:spacing w:line="240" w:lineRule="exact"/>
        <w:ind w:left="1620" w:hanging="2160"/>
        <w:rPr>
          <w:rFonts w:ascii="Times New Roman" w:hAnsi="Times New Roman" w:cs="Times New Roman"/>
          <w:color w:val="003366"/>
          <w:sz w:val="24"/>
          <w:szCs w:val="24"/>
        </w:rPr>
      </w:pPr>
    </w:p>
    <w:p w:rsidR="00797AE3" w:rsidRDefault="00CA7084" w:rsidP="00CA7084">
      <w:pPr>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                     </w:t>
      </w:r>
      <w:r w:rsidR="00797AE3">
        <w:rPr>
          <w:rFonts w:ascii="Times New Roman" w:hAnsi="Times New Roman" w:cs="Times New Roman"/>
          <w:b/>
          <w:bCs/>
          <w:color w:val="365F91"/>
          <w:sz w:val="24"/>
          <w:szCs w:val="24"/>
        </w:rPr>
        <w:t xml:space="preserve">____ </w:t>
      </w:r>
      <w:r w:rsidR="00DC78CD" w:rsidRPr="00DC78CD">
        <w:rPr>
          <w:rFonts w:ascii="Times New Roman" w:hAnsi="Times New Roman" w:cs="Times New Roman"/>
          <w:color w:val="365F91"/>
          <w:sz w:val="24"/>
          <w:szCs w:val="24"/>
        </w:rPr>
        <w:t>Monthly values, once per week</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465E4" w:rsidRPr="001F467C" w:rsidRDefault="00A465E4"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0139E0" w:rsidRPr="0078236C" w:rsidRDefault="00D0367C" w:rsidP="000139E0">
      <w:pPr>
        <w:pStyle w:val="Requirement"/>
        <w:tabs>
          <w:tab w:val="clear" w:pos="720"/>
          <w:tab w:val="clear" w:pos="1116"/>
          <w:tab w:val="num" w:pos="1080"/>
          <w:tab w:val="left" w:pos="2592"/>
        </w:tabs>
        <w:ind w:left="1080" w:hanging="576"/>
        <w:rPr>
          <w:noProof/>
        </w:rPr>
      </w:pPr>
      <w:r>
        <w:rPr>
          <w:noProof/>
        </w:rPr>
        <mc:AlternateContent>
          <mc:Choice Requires="wps">
            <w:drawing>
              <wp:anchor distT="0" distB="0" distL="114300" distR="114300" simplePos="0" relativeHeight="251657728" behindDoc="1" locked="0" layoutInCell="1" allowOverlap="1">
                <wp:simplePos x="0" y="0"/>
                <wp:positionH relativeFrom="column">
                  <wp:posOffset>4572000</wp:posOffset>
                </wp:positionH>
                <wp:positionV relativeFrom="paragraph">
                  <wp:posOffset>904875</wp:posOffset>
                </wp:positionV>
                <wp:extent cx="1714500" cy="1600200"/>
                <wp:effectExtent l="0" t="0" r="0" b="0"/>
                <wp:wrapTight wrapText="bothSides">
                  <wp:wrapPolygon edited="0">
                    <wp:start x="-120" y="-129"/>
                    <wp:lineTo x="-120" y="21600"/>
                    <wp:lineTo x="120" y="21857"/>
                    <wp:lineTo x="21960" y="21857"/>
                    <wp:lineTo x="21960" y="386"/>
                    <wp:lineTo x="21720" y="-129"/>
                    <wp:lineTo x="-120" y="-129"/>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0200"/>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rsidR="00A465E4" w:rsidRPr="00BE04A1" w:rsidRDefault="00A465E4" w:rsidP="000139E0">
                            <w:r w:rsidRPr="00BE04A1">
                              <w:t xml:space="preserve">Note that the North American Energy Standards Board (NAESB) is developing the companion standards that address the posting of ATC information, including supporting information such as that described in R9.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71.25pt;width:13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" fillcolor="#ff9">
                <v:shadow on="t"/>
                <v:textbox>
                  <w:txbxContent>
                    <w:p w:rsidR="00A465E4" w:rsidRPr="00BE04A1" w:rsidRDefault="00A465E4" w:rsidP="000139E0">
                      <w:r w:rsidRPr="00BE04A1">
                        <w:t xml:space="preserve">Note that the North American Energy Standards Board (NAESB) is developing the companion standards that address the posting of ATC information, including supporting information such as that described in R9.  </w:t>
                      </w:r>
                    </w:p>
                  </w:txbxContent>
                </v:textbox>
                <w10:wrap type="tight"/>
              </v:shape>
            </w:pict>
          </mc:Fallback>
        </mc:AlternateContent>
      </w:r>
      <w:r w:rsidR="000139E0" w:rsidRPr="009C72D7">
        <w:t xml:space="preserve">Within thirty calendar days of receiving a request by any Transmission Service Provider, Planning Coordinator, Reliability Coordinator, or Transmission Operator for data from the list below solely for use in the requestor’s ATC or AFC calculations, each Transmission Service Provider receiving said request shall begin to make the requested data available to the requestor, subject to the conditions specified in R9.1 and R9.2: </w:t>
      </w:r>
      <w:r w:rsidR="000139E0" w:rsidRPr="009C72D7">
        <w:rPr>
          <w:i/>
        </w:rPr>
        <w:t>[Violation Risk Factor: Lower] [Time Horizon: Operations Planning]</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 xml:space="preserve">Expected generation and Transmission outages, additions, and retirements. </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 xml:space="preserve">Load forecasts. </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Unit commitments and order of dispatch, to include all designated network resources and other resources that are committed or have the legal obligation to run, as they are expected to run, in one of the following formats chosen by the data provider:</w:t>
      </w:r>
    </w:p>
    <w:p w:rsidR="000139E0" w:rsidRPr="009C72D7" w:rsidRDefault="000139E0" w:rsidP="000139E0">
      <w:pPr>
        <w:pStyle w:val="Requirement"/>
        <w:numPr>
          <w:ilvl w:val="2"/>
          <w:numId w:val="23"/>
        </w:numPr>
        <w:tabs>
          <w:tab w:val="clear" w:pos="1726"/>
          <w:tab w:val="clear" w:pos="2232"/>
          <w:tab w:val="clear" w:pos="3240"/>
          <w:tab w:val="left" w:pos="-1980"/>
          <w:tab w:val="num" w:pos="1800"/>
        </w:tabs>
        <w:ind w:left="1800"/>
      </w:pPr>
      <w:r w:rsidRPr="009C72D7">
        <w:t>Dispatch Order</w:t>
      </w:r>
    </w:p>
    <w:p w:rsidR="000139E0" w:rsidRPr="009C72D7" w:rsidRDefault="000139E0" w:rsidP="000139E0">
      <w:pPr>
        <w:pStyle w:val="Requirement"/>
        <w:numPr>
          <w:ilvl w:val="2"/>
          <w:numId w:val="23"/>
        </w:numPr>
        <w:tabs>
          <w:tab w:val="clear" w:pos="1726"/>
          <w:tab w:val="clear" w:pos="2232"/>
          <w:tab w:val="clear" w:pos="3240"/>
          <w:tab w:val="left" w:pos="-1980"/>
          <w:tab w:val="num" w:pos="1800"/>
        </w:tabs>
        <w:ind w:left="1800"/>
      </w:pPr>
      <w:r w:rsidRPr="009C72D7">
        <w:t>Participation Factors</w:t>
      </w:r>
    </w:p>
    <w:p w:rsidR="000139E0" w:rsidRPr="009C72D7" w:rsidRDefault="000139E0" w:rsidP="000139E0">
      <w:pPr>
        <w:pStyle w:val="Requirement"/>
        <w:numPr>
          <w:ilvl w:val="2"/>
          <w:numId w:val="23"/>
        </w:numPr>
        <w:tabs>
          <w:tab w:val="clear" w:pos="1726"/>
          <w:tab w:val="clear" w:pos="2232"/>
          <w:tab w:val="clear" w:pos="3240"/>
          <w:tab w:val="left" w:pos="-1980"/>
          <w:tab w:val="num" w:pos="1800"/>
        </w:tabs>
        <w:ind w:left="1800"/>
      </w:pPr>
      <w:r w:rsidRPr="009C72D7">
        <w:t>Block Dispatch</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Aggregated firm capacity set-aside for Network Integration Transmission Service and aggregated non-firm capacity set aside for Network Integration Transmission Service (i.e. Secondary Service).</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 xml:space="preserve">Firm and non-firm Transmission reservations. </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 xml:space="preserve">Aggregated capacity set-aside for Grandfathered obligations </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Firm roll-over rights.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Any firm and non-firm adjustments applied by the Transmission Service Provider to reflect parallel path impacts.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Power flow models and underlying assumptions.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Contingencies, provided in one or more of the following formats:</w:t>
      </w:r>
    </w:p>
    <w:p w:rsidR="000139E0" w:rsidRPr="009C72D7" w:rsidRDefault="000139E0" w:rsidP="000139E0">
      <w:pPr>
        <w:pStyle w:val="Requirement"/>
        <w:numPr>
          <w:ilvl w:val="2"/>
          <w:numId w:val="24"/>
        </w:numPr>
        <w:tabs>
          <w:tab w:val="clear" w:pos="1726"/>
          <w:tab w:val="clear" w:pos="2232"/>
          <w:tab w:val="clear" w:pos="3240"/>
          <w:tab w:val="left" w:pos="-1980"/>
          <w:tab w:val="left" w:pos="0"/>
        </w:tabs>
        <w:ind w:left="1800"/>
      </w:pPr>
      <w:r w:rsidRPr="009C72D7">
        <w:t>A list of Elements</w:t>
      </w:r>
    </w:p>
    <w:p w:rsidR="000139E0" w:rsidRPr="009C72D7" w:rsidRDefault="000139E0" w:rsidP="000139E0">
      <w:pPr>
        <w:pStyle w:val="Requirement"/>
        <w:numPr>
          <w:ilvl w:val="2"/>
          <w:numId w:val="24"/>
        </w:numPr>
        <w:tabs>
          <w:tab w:val="clear" w:pos="1726"/>
          <w:tab w:val="clear" w:pos="2232"/>
          <w:tab w:val="clear" w:pos="3240"/>
          <w:tab w:val="left" w:pos="-1980"/>
          <w:tab w:val="left" w:pos="0"/>
        </w:tabs>
        <w:ind w:left="1800"/>
      </w:pPr>
      <w:r w:rsidRPr="009C72D7">
        <w:t>A list of Flowgates</w:t>
      </w:r>
    </w:p>
    <w:p w:rsidR="000139E0" w:rsidRPr="009C72D7" w:rsidRDefault="000139E0" w:rsidP="000139E0">
      <w:pPr>
        <w:pStyle w:val="Requirement"/>
        <w:numPr>
          <w:ilvl w:val="2"/>
          <w:numId w:val="24"/>
        </w:numPr>
        <w:tabs>
          <w:tab w:val="clear" w:pos="1726"/>
          <w:tab w:val="clear" w:pos="2232"/>
          <w:tab w:val="clear" w:pos="3240"/>
          <w:tab w:val="left" w:pos="-1980"/>
          <w:tab w:val="left" w:pos="0"/>
        </w:tabs>
        <w:ind w:left="1800"/>
      </w:pPr>
      <w:r w:rsidRPr="009C72D7">
        <w:t>A set of selection criteria that can be applied to the Transmission model used by the Transmission Operator and/or Transmission Service Provider</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Facility Ratings.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Any other services that impact Existing Transmission Commitments (ETCs).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Values of Capacity Benefit Margin (CBM) and Transmission Reliability Margin (TRM) for all ATC Paths or Flowgates.</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Values of Total Flowgate Capability (TFC) and AFC for any Flowgates considered by the Transmission Service Provider receiving the request when selling Transmission service.</w:t>
      </w:r>
      <w:r w:rsidRPr="009C72D7" w:rsidDel="00007924">
        <w:t xml:space="preserve"> </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Values of TTC and ATC for all ATC Paths for those Transmission Service Providers receiving the request that do not consider Flowgates when selling Transmission Service.</w:t>
      </w:r>
    </w:p>
    <w:p w:rsidR="000139E0" w:rsidRPr="009C72D7" w:rsidRDefault="000139E0" w:rsidP="000139E0">
      <w:pPr>
        <w:pStyle w:val="Requirement"/>
        <w:numPr>
          <w:ilvl w:val="2"/>
          <w:numId w:val="18"/>
        </w:numPr>
        <w:tabs>
          <w:tab w:val="clear" w:pos="1726"/>
          <w:tab w:val="clear" w:pos="2232"/>
          <w:tab w:val="clear" w:pos="3240"/>
          <w:tab w:val="left" w:pos="-1980"/>
          <w:tab w:val="num" w:pos="-1620"/>
        </w:tabs>
        <w:ind w:left="1440"/>
      </w:pPr>
      <w:r w:rsidRPr="009C72D7">
        <w:t>Source and sink identification and mapping to the model.</w:t>
      </w:r>
    </w:p>
    <w:p w:rsidR="000139E0" w:rsidRPr="0078236C" w:rsidRDefault="000139E0" w:rsidP="000139E0">
      <w:pPr>
        <w:pStyle w:val="Requirement"/>
        <w:numPr>
          <w:ilvl w:val="0"/>
          <w:numId w:val="0"/>
        </w:numPr>
        <w:ind w:left="504"/>
        <w:rPr>
          <w:noProof/>
        </w:rPr>
      </w:pPr>
    </w:p>
    <w:p w:rsidR="000139E0" w:rsidRPr="000139E0" w:rsidRDefault="000139E0" w:rsidP="000139E0">
      <w:pPr>
        <w:pStyle w:val="ListParagraph"/>
        <w:numPr>
          <w:ilvl w:val="0"/>
          <w:numId w:val="18"/>
        </w:numPr>
        <w:tabs>
          <w:tab w:val="num" w:pos="1872"/>
          <w:tab w:val="left" w:pos="2592"/>
          <w:tab w:val="left" w:pos="3240"/>
        </w:tabs>
        <w:autoSpaceDE/>
        <w:autoSpaceDN/>
        <w:adjustRightInd/>
        <w:spacing w:after="120"/>
        <w:rPr>
          <w:rFonts w:ascii="Times New Roman" w:hAnsi="Times New Roman" w:cs="Times New Roman"/>
          <w:noProof/>
          <w:vanish/>
          <w:sz w:val="24"/>
          <w:szCs w:val="24"/>
        </w:rPr>
      </w:pPr>
    </w:p>
    <w:p w:rsidR="000139E0" w:rsidRPr="0078236C" w:rsidRDefault="000139E0" w:rsidP="000139E0">
      <w:pPr>
        <w:pStyle w:val="Requirement"/>
        <w:numPr>
          <w:ilvl w:val="1"/>
          <w:numId w:val="18"/>
        </w:numPr>
        <w:tabs>
          <w:tab w:val="clear" w:pos="1726"/>
          <w:tab w:val="left" w:pos="2592"/>
        </w:tabs>
        <w:rPr>
          <w:i/>
        </w:rPr>
      </w:pPr>
      <w:r w:rsidRPr="009C72D7">
        <w:rPr>
          <w:noProof/>
        </w:rPr>
        <w:t>The Transmission Service Provider shall make its own current data available, in the format maintained by the Transmission Service Provider, for up to 13 months into the future (subject to confidentiality and security requirements).</w:t>
      </w:r>
    </w:p>
    <w:p w:rsidR="000139E0" w:rsidRPr="002A6542" w:rsidRDefault="000139E0" w:rsidP="002A6542">
      <w:pPr>
        <w:pStyle w:val="Requirement"/>
        <w:numPr>
          <w:ilvl w:val="3"/>
          <w:numId w:val="25"/>
        </w:numPr>
        <w:tabs>
          <w:tab w:val="clear" w:pos="2158"/>
          <w:tab w:val="left" w:pos="2592"/>
        </w:tabs>
        <w:rPr>
          <w:i/>
        </w:rPr>
      </w:pPr>
      <w:r w:rsidRPr="009C72D7">
        <w:t>If the Transmission Service Provider uses the data requested in its transfer or Flowgate capability calculations, it shall make the data used available</w:t>
      </w:r>
    </w:p>
    <w:p w:rsidR="000139E0" w:rsidRPr="002A6542" w:rsidRDefault="000139E0" w:rsidP="002A6542">
      <w:pPr>
        <w:pStyle w:val="Requirement"/>
        <w:numPr>
          <w:ilvl w:val="3"/>
          <w:numId w:val="25"/>
        </w:numPr>
        <w:tabs>
          <w:tab w:val="clear" w:pos="2158"/>
          <w:tab w:val="left" w:pos="2592"/>
        </w:tabs>
        <w:rPr>
          <w:i/>
        </w:rPr>
      </w:pPr>
      <w:r w:rsidRPr="009C72D7">
        <w:t>If the Transmission Service Provider does not use the data requested in its transfer or Flowgate capability calculations, but maintains that data, it shall make that data available</w:t>
      </w:r>
    </w:p>
    <w:p w:rsidR="000139E0" w:rsidRPr="002A6542" w:rsidRDefault="000139E0" w:rsidP="002A6542">
      <w:pPr>
        <w:pStyle w:val="Requirement"/>
        <w:numPr>
          <w:ilvl w:val="3"/>
          <w:numId w:val="25"/>
        </w:numPr>
        <w:tabs>
          <w:tab w:val="clear" w:pos="2158"/>
          <w:tab w:val="left" w:pos="2592"/>
        </w:tabs>
        <w:rPr>
          <w:i/>
        </w:rPr>
      </w:pPr>
      <w:r w:rsidRPr="009C72D7">
        <w:t>If the Transmission Service Provider does not use the data requested in its transfer or Flowgate capability calculations, and does not maintain that data, it shall not be required to make that data available</w:t>
      </w: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0"/>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1C7F57" w:rsidRPr="001C7F57" w:rsidRDefault="001C7F57" w:rsidP="001C7F57">
      <w:pPr>
        <w:pStyle w:val="ListParagraph"/>
        <w:numPr>
          <w:ilvl w:val="1"/>
          <w:numId w:val="25"/>
        </w:numPr>
        <w:tabs>
          <w:tab w:val="left" w:pos="2592"/>
          <w:tab w:val="left" w:pos="3240"/>
        </w:tabs>
        <w:autoSpaceDE/>
        <w:autoSpaceDN/>
        <w:adjustRightInd/>
        <w:spacing w:after="120"/>
        <w:rPr>
          <w:rFonts w:ascii="Times New Roman" w:hAnsi="Times New Roman" w:cs="Times New Roman"/>
          <w:noProof/>
          <w:vanish/>
          <w:sz w:val="24"/>
          <w:szCs w:val="24"/>
        </w:rPr>
      </w:pPr>
    </w:p>
    <w:p w:rsidR="000139E0" w:rsidRPr="009C72D7" w:rsidRDefault="000139E0" w:rsidP="001C7F57">
      <w:pPr>
        <w:pStyle w:val="Requirement"/>
        <w:numPr>
          <w:ilvl w:val="1"/>
          <w:numId w:val="25"/>
        </w:numPr>
        <w:tabs>
          <w:tab w:val="clear" w:pos="1726"/>
          <w:tab w:val="left" w:pos="2592"/>
        </w:tabs>
        <w:rPr>
          <w:noProof/>
        </w:rPr>
      </w:pPr>
      <w:r w:rsidRPr="009C72D7">
        <w:rPr>
          <w:noProof/>
        </w:rPr>
        <w:t xml:space="preserve">This data shall be made available by </w:t>
      </w:r>
      <w:r w:rsidRPr="009C4C52">
        <w:rPr>
          <w:noProof/>
        </w:rPr>
        <w:t>the Transmission Provider on the schedule</w:t>
      </w:r>
      <w:r w:rsidRPr="009C72D7">
        <w:rPr>
          <w:noProof/>
        </w:rPr>
        <w:t xml:space="preserve"> specified by the requestor (but no more frequently than once per hour, unless mutually agreed to by the requester and the provider).</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13147" w:rsidRPr="00616A77" w:rsidRDefault="00A13147" w:rsidP="00A13147">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Pr="00616A77">
        <w:rPr>
          <w:rFonts w:ascii="Times New Roman" w:hAnsi="Times New Roman" w:cs="Times New Roman"/>
          <w:bCs/>
          <w:sz w:val="24"/>
          <w:szCs w:val="24"/>
        </w:rPr>
        <w:t xml:space="preserve">Did you receive a request to provide data from the list in R9 solely for use in the requestor’s ATC or AFC calculations during the audit period? If yes, </w:t>
      </w:r>
      <w:r w:rsidR="00AD27EE" w:rsidRPr="00616A77">
        <w:rPr>
          <w:rFonts w:ascii="Times New Roman" w:hAnsi="Times New Roman" w:cs="Times New Roman"/>
          <w:bCs/>
          <w:sz w:val="24"/>
          <w:szCs w:val="24"/>
        </w:rPr>
        <w:t>identify a</w:t>
      </w:r>
      <w:r w:rsidR="009C4C52" w:rsidRPr="00616A77">
        <w:rPr>
          <w:rFonts w:ascii="Times New Roman" w:hAnsi="Times New Roman" w:cs="Times New Roman"/>
          <w:bCs/>
          <w:sz w:val="24"/>
          <w:szCs w:val="24"/>
        </w:rPr>
        <w:t>ll requesting entities and when</w:t>
      </w:r>
      <w:r w:rsidR="00AD27EE" w:rsidRPr="00616A77">
        <w:rPr>
          <w:rFonts w:ascii="Times New Roman" w:hAnsi="Times New Roman" w:cs="Times New Roman"/>
          <w:bCs/>
          <w:sz w:val="24"/>
          <w:szCs w:val="24"/>
        </w:rPr>
        <w:t xml:space="preserve"> you bega</w:t>
      </w:r>
      <w:r w:rsidRPr="00616A77">
        <w:rPr>
          <w:rFonts w:ascii="Times New Roman" w:hAnsi="Times New Roman" w:cs="Times New Roman"/>
          <w:bCs/>
          <w:sz w:val="24"/>
          <w:szCs w:val="24"/>
        </w:rPr>
        <w:t>n to make the requested data available to the requestor, subject to the condit</w:t>
      </w:r>
      <w:r w:rsidR="00AD27EE" w:rsidRPr="00616A77">
        <w:rPr>
          <w:rFonts w:ascii="Times New Roman" w:hAnsi="Times New Roman" w:cs="Times New Roman"/>
          <w:bCs/>
          <w:sz w:val="24"/>
          <w:szCs w:val="24"/>
        </w:rPr>
        <w:t>ions specified in R9.1 a</w:t>
      </w:r>
      <w:r w:rsidR="00CA7084" w:rsidRPr="00616A77">
        <w:rPr>
          <w:rFonts w:ascii="Times New Roman" w:hAnsi="Times New Roman" w:cs="Times New Roman"/>
          <w:bCs/>
          <w:sz w:val="24"/>
          <w:szCs w:val="24"/>
        </w:rPr>
        <w:t>nd R9.2 during the audit period.</w:t>
      </w:r>
    </w:p>
    <w:p w:rsidR="00A13147" w:rsidRPr="009C039C" w:rsidRDefault="00A13147" w:rsidP="00A13147">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A13147" w:rsidRPr="009C039C" w:rsidRDefault="00A13147" w:rsidP="00A13147">
      <w:pPr>
        <w:widowControl w:val="0"/>
        <w:tabs>
          <w:tab w:val="left" w:pos="720"/>
        </w:tabs>
        <w:spacing w:line="186" w:lineRule="exact"/>
        <w:ind w:left="720"/>
        <w:rPr>
          <w:rFonts w:ascii="Times New Roman" w:hAnsi="Times New Roman" w:cs="Times New Roman"/>
          <w:sz w:val="24"/>
          <w:szCs w:val="24"/>
        </w:rPr>
      </w:pPr>
    </w:p>
    <w:p w:rsidR="00A13147" w:rsidRPr="009C039C" w:rsidRDefault="00A13147" w:rsidP="00A1314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A13147" w:rsidRPr="009C039C" w:rsidRDefault="00A13147" w:rsidP="00A1314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5170E" w:rsidRDefault="0065170E"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65170E" w:rsidRPr="00001951" w:rsidRDefault="0065170E" w:rsidP="00E26A92">
      <w:pPr>
        <w:pStyle w:val="Heading1"/>
        <w:rPr>
          <w:sz w:val="32"/>
          <w:szCs w:val="32"/>
        </w:rPr>
      </w:pPr>
      <w:r w:rsidRPr="00001951">
        <w:rPr>
          <w:sz w:val="32"/>
          <w:szCs w:val="32"/>
        </w:rPr>
        <w:t>R9 Supporting Evidence and Documentation</w:t>
      </w:r>
    </w:p>
    <w:p w:rsidR="0065170E" w:rsidRDefault="0065170E" w:rsidP="0065170E">
      <w:pPr>
        <w:widowControl w:val="0"/>
        <w:spacing w:line="266" w:lineRule="exact"/>
        <w:rPr>
          <w:rFonts w:ascii="Times New Roman" w:hAnsi="Times New Roman" w:cs="Times New Roman"/>
          <w:b/>
          <w:bCs/>
          <w:color w:val="FF0000"/>
          <w:sz w:val="24"/>
          <w:szCs w:val="24"/>
        </w:rPr>
      </w:pPr>
    </w:p>
    <w:p w:rsidR="0065170E" w:rsidRDefault="0065170E" w:rsidP="0065170E">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65170E" w:rsidRDefault="0065170E" w:rsidP="0065170E">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65170E" w:rsidTr="0065170E">
        <w:trPr>
          <w:gridAfter w:val="1"/>
          <w:wAfter w:w="1224" w:type="dxa"/>
          <w:trHeight w:val="945"/>
        </w:trPr>
        <w:tc>
          <w:tcPr>
            <w:tcW w:w="1098" w:type="dxa"/>
            <w:tcBorders>
              <w:top w:val="nil"/>
              <w:left w:val="nil"/>
              <w:bottom w:val="nil"/>
              <w:right w:val="nil"/>
            </w:tcBorders>
          </w:tcPr>
          <w:p w:rsidR="0065170E" w:rsidRDefault="0065170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65170E" w:rsidRDefault="0065170E">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65170E" w:rsidRDefault="0065170E">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65170E" w:rsidTr="0065170E">
        <w:tc>
          <w:tcPr>
            <w:tcW w:w="78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65170E" w:rsidRDefault="0065170E">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hideMark/>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r w:rsidR="0065170E" w:rsidTr="0065170E">
        <w:tc>
          <w:tcPr>
            <w:tcW w:w="78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65170E" w:rsidRDefault="0065170E">
            <w:pPr>
              <w:widowControl w:val="0"/>
              <w:tabs>
                <w:tab w:val="left" w:pos="900"/>
                <w:tab w:val="left" w:pos="6360"/>
              </w:tabs>
              <w:spacing w:line="294" w:lineRule="exact"/>
              <w:rPr>
                <w:rFonts w:ascii="Times New Roman" w:hAnsi="Times New Roman" w:cs="Times New Roman"/>
                <w:b/>
                <w:bCs/>
                <w:sz w:val="24"/>
                <w:szCs w:val="24"/>
              </w:rPr>
            </w:pPr>
          </w:p>
        </w:tc>
      </w:tr>
    </w:tbl>
    <w:p w:rsidR="0065170E" w:rsidRDefault="0065170E"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MOD-001</w:t>
      </w:r>
      <w:r>
        <w:rPr>
          <w:rFonts w:ascii="Times New Roman" w:hAnsi="Times New Roman" w:cs="Times New Roman"/>
          <w:b/>
          <w:bCs/>
          <w:color w:val="003366"/>
          <w:sz w:val="24"/>
          <w:szCs w:val="24"/>
        </w:rPr>
        <w:t>-1</w:t>
      </w:r>
      <w:r w:rsidR="00AB1317">
        <w:rPr>
          <w:rFonts w:ascii="Times New Roman" w:hAnsi="Times New Roman" w:cs="Times New Roman"/>
          <w:b/>
          <w:bCs/>
          <w:color w:val="003366"/>
          <w:sz w:val="24"/>
          <w:szCs w:val="24"/>
        </w:rPr>
        <w:t>a</w:t>
      </w:r>
      <w:r>
        <w:rPr>
          <w:rFonts w:ascii="Times New Roman" w:hAnsi="Times New Roman" w:cs="Times New Roman"/>
          <w:b/>
          <w:bCs/>
          <w:color w:val="003366"/>
          <w:sz w:val="24"/>
          <w:szCs w:val="24"/>
        </w:rPr>
        <w:t xml:space="preserve"> R</w:t>
      </w:r>
      <w:r w:rsidR="008E7CBF">
        <w:rPr>
          <w:rFonts w:ascii="Times New Roman" w:hAnsi="Times New Roman" w:cs="Times New Roman"/>
          <w:b/>
          <w:bCs/>
          <w:color w:val="003366"/>
          <w:sz w:val="24"/>
          <w:szCs w:val="24"/>
        </w:rPr>
        <w:t>9</w:t>
      </w:r>
    </w:p>
    <w:p w:rsidR="00A52681" w:rsidRPr="005E50A4" w:rsidRDefault="00A52681" w:rsidP="00A52681">
      <w:pPr>
        <w:rPr>
          <w:rFonts w:ascii="Times New Roman" w:hAnsi="Times New Roman" w:cs="Times New Roman"/>
          <w:color w:val="365F91"/>
          <w:sz w:val="24"/>
          <w:szCs w:val="24"/>
        </w:rPr>
      </w:pPr>
    </w:p>
    <w:p w:rsidR="002C09F3" w:rsidRDefault="002C09F3" w:rsidP="004631F0">
      <w:pPr>
        <w:widowControl w:val="0"/>
        <w:spacing w:line="284" w:lineRule="exact"/>
        <w:ind w:left="1620" w:hanging="540"/>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00AD27EE">
        <w:rPr>
          <w:rFonts w:ascii="Times New Roman" w:hAnsi="Times New Roman" w:cs="Times New Roman"/>
          <w:color w:val="365F91"/>
          <w:sz w:val="24"/>
          <w:szCs w:val="24"/>
        </w:rPr>
        <w:t xml:space="preserve">Verify the TSP, within </w:t>
      </w:r>
      <w:r w:rsidR="004631F0" w:rsidRPr="004631F0">
        <w:rPr>
          <w:rFonts w:ascii="Times New Roman" w:hAnsi="Times New Roman" w:cs="Times New Roman"/>
          <w:color w:val="365F91"/>
          <w:sz w:val="24"/>
          <w:szCs w:val="24"/>
        </w:rPr>
        <w:t>thirty calenda</w:t>
      </w:r>
      <w:r w:rsidR="00AD27EE">
        <w:rPr>
          <w:rFonts w:ascii="Times New Roman" w:hAnsi="Times New Roman" w:cs="Times New Roman"/>
          <w:color w:val="365F91"/>
          <w:sz w:val="24"/>
          <w:szCs w:val="24"/>
        </w:rPr>
        <w:t>r days of receiving a request from</w:t>
      </w:r>
      <w:r w:rsidR="004631F0" w:rsidRPr="004631F0">
        <w:rPr>
          <w:rFonts w:ascii="Times New Roman" w:hAnsi="Times New Roman" w:cs="Times New Roman"/>
          <w:color w:val="365F91"/>
          <w:sz w:val="24"/>
          <w:szCs w:val="24"/>
        </w:rPr>
        <w:t xml:space="preserve"> any T</w:t>
      </w:r>
      <w:r w:rsidR="00AD27EE">
        <w:rPr>
          <w:rFonts w:ascii="Times New Roman" w:hAnsi="Times New Roman" w:cs="Times New Roman"/>
          <w:color w:val="365F91"/>
          <w:sz w:val="24"/>
          <w:szCs w:val="24"/>
        </w:rPr>
        <w:t>SP</w:t>
      </w:r>
      <w:r w:rsidR="004631F0" w:rsidRPr="004631F0">
        <w:rPr>
          <w:rFonts w:ascii="Times New Roman" w:hAnsi="Times New Roman" w:cs="Times New Roman"/>
          <w:color w:val="365F91"/>
          <w:sz w:val="24"/>
          <w:szCs w:val="24"/>
        </w:rPr>
        <w:t>, Planning Coordinator, R</w:t>
      </w:r>
      <w:r w:rsidR="00AD27EE">
        <w:rPr>
          <w:rFonts w:ascii="Times New Roman" w:hAnsi="Times New Roman" w:cs="Times New Roman"/>
          <w:color w:val="365F91"/>
          <w:sz w:val="24"/>
          <w:szCs w:val="24"/>
        </w:rPr>
        <w:t>C</w:t>
      </w:r>
      <w:r w:rsidR="004631F0" w:rsidRPr="004631F0">
        <w:rPr>
          <w:rFonts w:ascii="Times New Roman" w:hAnsi="Times New Roman" w:cs="Times New Roman"/>
          <w:color w:val="365F91"/>
          <w:sz w:val="24"/>
          <w:szCs w:val="24"/>
        </w:rPr>
        <w:t>, or T</w:t>
      </w:r>
      <w:r w:rsidR="00AD27EE">
        <w:rPr>
          <w:rFonts w:ascii="Times New Roman" w:hAnsi="Times New Roman" w:cs="Times New Roman"/>
          <w:color w:val="365F91"/>
          <w:sz w:val="24"/>
          <w:szCs w:val="24"/>
        </w:rPr>
        <w:t>OP</w:t>
      </w:r>
      <w:r w:rsidR="004631F0" w:rsidRPr="004631F0">
        <w:rPr>
          <w:rFonts w:ascii="Times New Roman" w:hAnsi="Times New Roman" w:cs="Times New Roman"/>
          <w:color w:val="365F91"/>
          <w:sz w:val="24"/>
          <w:szCs w:val="24"/>
        </w:rPr>
        <w:t xml:space="preserve"> for data </w:t>
      </w:r>
      <w:r w:rsidR="00AD27EE">
        <w:rPr>
          <w:rFonts w:ascii="Times New Roman" w:hAnsi="Times New Roman" w:cs="Times New Roman"/>
          <w:color w:val="365F91"/>
          <w:sz w:val="24"/>
          <w:szCs w:val="24"/>
        </w:rPr>
        <w:t>listed</w:t>
      </w:r>
      <w:r w:rsidR="004631F0" w:rsidRPr="004631F0">
        <w:rPr>
          <w:rFonts w:ascii="Times New Roman" w:hAnsi="Times New Roman" w:cs="Times New Roman"/>
          <w:color w:val="365F91"/>
          <w:sz w:val="24"/>
          <w:szCs w:val="24"/>
        </w:rPr>
        <w:t xml:space="preserve"> </w:t>
      </w:r>
      <w:r w:rsidR="00AD27EE">
        <w:rPr>
          <w:rFonts w:ascii="Times New Roman" w:hAnsi="Times New Roman" w:cs="Times New Roman"/>
          <w:color w:val="365F91"/>
          <w:sz w:val="24"/>
          <w:szCs w:val="24"/>
        </w:rPr>
        <w:t xml:space="preserve">in R9 </w:t>
      </w:r>
      <w:r w:rsidR="004631F0" w:rsidRPr="004631F0">
        <w:rPr>
          <w:rFonts w:ascii="Times New Roman" w:hAnsi="Times New Roman" w:cs="Times New Roman"/>
          <w:color w:val="365F91"/>
          <w:sz w:val="24"/>
          <w:szCs w:val="24"/>
        </w:rPr>
        <w:t xml:space="preserve">solely for use in the requestor’s ATC or AFC calculations, </w:t>
      </w:r>
      <w:r w:rsidR="00AD27EE">
        <w:rPr>
          <w:rFonts w:ascii="Times New Roman" w:hAnsi="Times New Roman" w:cs="Times New Roman"/>
          <w:color w:val="365F91"/>
          <w:sz w:val="24"/>
          <w:szCs w:val="24"/>
        </w:rPr>
        <w:t>bega</w:t>
      </w:r>
      <w:r w:rsidR="004631F0" w:rsidRPr="004631F0">
        <w:rPr>
          <w:rFonts w:ascii="Times New Roman" w:hAnsi="Times New Roman" w:cs="Times New Roman"/>
          <w:color w:val="365F91"/>
          <w:sz w:val="24"/>
          <w:szCs w:val="24"/>
        </w:rPr>
        <w:t>n to make the requested data available to the requestor, subject to the conditions specified in R9.1 and R9.2:</w:t>
      </w:r>
    </w:p>
    <w:p w:rsidR="002C09F3" w:rsidRDefault="002C09F3" w:rsidP="002C09F3">
      <w:pPr>
        <w:widowControl w:val="0"/>
        <w:tabs>
          <w:tab w:val="left" w:pos="1080"/>
        </w:tabs>
        <w:spacing w:line="284" w:lineRule="exact"/>
        <w:ind w:left="1620" w:hanging="1620"/>
        <w:rPr>
          <w:rFonts w:ascii="Times New Roman" w:hAnsi="Times New Roman" w:cs="Times New Roman"/>
          <w:color w:val="365F91"/>
          <w:sz w:val="24"/>
          <w:szCs w:val="24"/>
        </w:rPr>
      </w:pPr>
    </w:p>
    <w:p w:rsidR="002C09F3" w:rsidRDefault="002C09F3" w:rsidP="002C09F3">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371485">
        <w:t xml:space="preserve"> </w:t>
      </w:r>
      <w:r w:rsidR="004631F0" w:rsidRPr="004631F0">
        <w:rPr>
          <w:rFonts w:ascii="Times New Roman" w:hAnsi="Times New Roman" w:cs="Times New Roman"/>
          <w:color w:val="365F91"/>
          <w:sz w:val="24"/>
          <w:szCs w:val="24"/>
        </w:rPr>
        <w:t>Expected generation and Transmission outages, additions, and retirements</w:t>
      </w:r>
    </w:p>
    <w:p w:rsidR="002C09F3" w:rsidRDefault="002C09F3" w:rsidP="002C09F3">
      <w:pPr>
        <w:widowControl w:val="0"/>
        <w:tabs>
          <w:tab w:val="left" w:pos="1080"/>
        </w:tabs>
        <w:spacing w:line="284" w:lineRule="exact"/>
        <w:ind w:left="1620" w:hanging="1620"/>
        <w:rPr>
          <w:rFonts w:ascii="Times New Roman" w:hAnsi="Times New Roman" w:cs="Times New Roman"/>
          <w:color w:val="365F91"/>
          <w:sz w:val="24"/>
          <w:szCs w:val="24"/>
        </w:rPr>
      </w:pPr>
    </w:p>
    <w:p w:rsidR="002C09F3" w:rsidRPr="00A74C27" w:rsidRDefault="002C09F3" w:rsidP="002C09F3">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4F2D45">
        <w:t xml:space="preserve"> </w:t>
      </w:r>
      <w:r w:rsidR="004631F0" w:rsidRPr="004631F0">
        <w:rPr>
          <w:rFonts w:ascii="Times New Roman" w:hAnsi="Times New Roman" w:cs="Times New Roman"/>
          <w:color w:val="365F91"/>
          <w:sz w:val="24"/>
          <w:szCs w:val="24"/>
        </w:rPr>
        <w:t>Load forecasts</w:t>
      </w:r>
    </w:p>
    <w:p w:rsidR="002C09F3" w:rsidRDefault="002C09F3" w:rsidP="002C09F3">
      <w:pPr>
        <w:widowControl w:val="0"/>
        <w:spacing w:line="240" w:lineRule="exact"/>
        <w:rPr>
          <w:rFonts w:ascii="Times New Roman" w:hAnsi="Times New Roman" w:cs="Times New Roman"/>
          <w:color w:val="003366"/>
          <w:sz w:val="24"/>
          <w:szCs w:val="24"/>
        </w:rPr>
      </w:pPr>
    </w:p>
    <w:p w:rsidR="004631F0" w:rsidRDefault="002C09F3" w:rsidP="004631F0">
      <w:pPr>
        <w:ind w:left="1620"/>
        <w:rPr>
          <w:rFonts w:ascii="Times New Roman" w:hAnsi="Times New Roman" w:cs="Times New Roman"/>
          <w:color w:val="365F91"/>
          <w:sz w:val="24"/>
          <w:szCs w:val="24"/>
        </w:rPr>
      </w:pPr>
      <w:r w:rsidRPr="004631F0">
        <w:rPr>
          <w:rFonts w:ascii="Times New Roman" w:hAnsi="Times New Roman" w:cs="Times New Roman"/>
          <w:b/>
          <w:bCs/>
          <w:color w:val="365F91"/>
          <w:sz w:val="24"/>
          <w:szCs w:val="24"/>
        </w:rPr>
        <w:t xml:space="preserve">____ </w:t>
      </w:r>
      <w:r w:rsidRPr="004631F0">
        <w:rPr>
          <w:rFonts w:ascii="Times New Roman" w:hAnsi="Times New Roman" w:cs="Times New Roman"/>
          <w:b/>
          <w:bCs/>
          <w:color w:val="365F91"/>
          <w:sz w:val="24"/>
          <w:szCs w:val="24"/>
        </w:rPr>
        <w:tab/>
      </w:r>
      <w:r w:rsidR="004631F0" w:rsidRPr="004631F0">
        <w:rPr>
          <w:rFonts w:ascii="Times New Roman" w:hAnsi="Times New Roman" w:cs="Times New Roman"/>
          <w:color w:val="365F91"/>
          <w:sz w:val="24"/>
          <w:szCs w:val="24"/>
        </w:rPr>
        <w:t>Unit commitments and order of dispatch, to include all designated network resources and other resources that are committed or have the legal obligation to run, as they are expected to run, in one of the following formats chosen by the data provider:</w:t>
      </w:r>
    </w:p>
    <w:p w:rsidR="00CA7084" w:rsidRPr="004631F0" w:rsidRDefault="00CA7084" w:rsidP="004631F0">
      <w:pPr>
        <w:ind w:left="1620"/>
        <w:rPr>
          <w:rFonts w:ascii="Times New Roman" w:hAnsi="Times New Roman" w:cs="Times New Roman"/>
          <w:color w:val="365F91"/>
          <w:sz w:val="24"/>
          <w:szCs w:val="24"/>
        </w:rPr>
      </w:pPr>
    </w:p>
    <w:p w:rsid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4631F0">
        <w:rPr>
          <w:rFonts w:ascii="Times New Roman" w:hAnsi="Times New Roman" w:cs="Times New Roman"/>
          <w:color w:val="365F91"/>
          <w:sz w:val="24"/>
          <w:szCs w:val="24"/>
        </w:rPr>
        <w:t>Dispatch Order</w:t>
      </w:r>
    </w:p>
    <w:p w:rsidR="00CA7084" w:rsidRPr="004631F0" w:rsidRDefault="00CA7084" w:rsidP="004631F0">
      <w:pPr>
        <w:ind w:left="2232"/>
        <w:rPr>
          <w:rFonts w:ascii="Times New Roman" w:hAnsi="Times New Roman" w:cs="Times New Roman"/>
          <w:color w:val="365F91"/>
          <w:sz w:val="24"/>
          <w:szCs w:val="24"/>
        </w:rPr>
      </w:pPr>
    </w:p>
    <w:p w:rsid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4631F0">
        <w:rPr>
          <w:rFonts w:ascii="Times New Roman" w:hAnsi="Times New Roman" w:cs="Times New Roman"/>
          <w:color w:val="365F91"/>
          <w:sz w:val="24"/>
          <w:szCs w:val="24"/>
        </w:rPr>
        <w:t>Participation Factors</w:t>
      </w:r>
    </w:p>
    <w:p w:rsidR="00CA7084" w:rsidRPr="004631F0" w:rsidRDefault="00CA7084" w:rsidP="004631F0">
      <w:pPr>
        <w:ind w:left="2232"/>
        <w:rPr>
          <w:rFonts w:ascii="Times New Roman" w:hAnsi="Times New Roman" w:cs="Times New Roman"/>
          <w:color w:val="365F91"/>
          <w:sz w:val="24"/>
          <w:szCs w:val="24"/>
        </w:rPr>
      </w:pPr>
    </w:p>
    <w:p w:rsidR="004631F0" w:rsidRP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____</w:t>
      </w:r>
      <w:r w:rsidR="009C4C52">
        <w:rPr>
          <w:rFonts w:ascii="Times New Roman" w:hAnsi="Times New Roman" w:cs="Times New Roman"/>
          <w:color w:val="365F91"/>
          <w:sz w:val="24"/>
          <w:szCs w:val="24"/>
        </w:rPr>
        <w:t xml:space="preserve"> </w:t>
      </w:r>
      <w:r w:rsidRPr="004631F0">
        <w:rPr>
          <w:rFonts w:ascii="Times New Roman" w:hAnsi="Times New Roman" w:cs="Times New Roman"/>
          <w:color w:val="365F91"/>
          <w:sz w:val="24"/>
          <w:szCs w:val="24"/>
        </w:rPr>
        <w:t>Block Dispatch</w:t>
      </w:r>
    </w:p>
    <w:p w:rsidR="002C09F3" w:rsidRDefault="002C09F3" w:rsidP="002C09F3">
      <w:pPr>
        <w:ind w:left="1620"/>
        <w:rPr>
          <w:rFonts w:ascii="Times New Roman" w:hAnsi="Times New Roman" w:cs="Times New Roman"/>
          <w:color w:val="003366"/>
          <w:sz w:val="24"/>
          <w:szCs w:val="24"/>
        </w:rPr>
      </w:pPr>
    </w:p>
    <w:p w:rsidR="002C09F3" w:rsidRDefault="002C09F3" w:rsidP="002C09F3">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004631F0" w:rsidRPr="004631F0">
        <w:rPr>
          <w:rFonts w:ascii="Times New Roman" w:hAnsi="Times New Roman" w:cs="Times New Roman"/>
          <w:color w:val="365F91"/>
          <w:sz w:val="24"/>
          <w:szCs w:val="24"/>
        </w:rPr>
        <w:t>Aggregated firm capacity set-aside for Network Integration Transmission Service and aggregated non-firm capacity set aside for Network Integration Transmission Service (i.e. Secondary Service)</w:t>
      </w:r>
      <w:r>
        <w:rPr>
          <w:rFonts w:ascii="Times New Roman" w:hAnsi="Times New Roman" w:cs="Times New Roman"/>
          <w:color w:val="365F91"/>
          <w:sz w:val="24"/>
          <w:szCs w:val="24"/>
        </w:rPr>
        <w:t>.</w:t>
      </w:r>
    </w:p>
    <w:p w:rsidR="002C09F3" w:rsidRDefault="002C09F3" w:rsidP="002C09F3">
      <w:pPr>
        <w:ind w:left="2160"/>
        <w:rPr>
          <w:rFonts w:ascii="Times New Roman" w:hAnsi="Times New Roman" w:cs="Times New Roman"/>
          <w:color w:val="003366"/>
          <w:sz w:val="24"/>
          <w:szCs w:val="24"/>
        </w:rPr>
      </w:pPr>
    </w:p>
    <w:p w:rsidR="002C09F3" w:rsidRDefault="002C09F3" w:rsidP="002C09F3">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004631F0" w:rsidRPr="004631F0">
        <w:rPr>
          <w:rFonts w:ascii="Times New Roman" w:hAnsi="Times New Roman" w:cs="Times New Roman"/>
          <w:color w:val="365F91"/>
          <w:sz w:val="24"/>
          <w:szCs w:val="24"/>
        </w:rPr>
        <w:t>Firm and non-firm Transmission reservations</w:t>
      </w:r>
    </w:p>
    <w:p w:rsidR="002C09F3" w:rsidRDefault="002C09F3" w:rsidP="002C09F3">
      <w:pPr>
        <w:widowControl w:val="0"/>
        <w:tabs>
          <w:tab w:val="left" w:pos="60"/>
        </w:tabs>
        <w:spacing w:line="294" w:lineRule="exact"/>
        <w:rPr>
          <w:rFonts w:ascii="Times New Roman" w:hAnsi="Times New Roman" w:cs="Times New Roman"/>
          <w:color w:val="365F91"/>
          <w:sz w:val="24"/>
          <w:szCs w:val="24"/>
        </w:rPr>
      </w:pPr>
    </w:p>
    <w:p w:rsidR="002C09F3" w:rsidRPr="005E50A4" w:rsidRDefault="002C09F3" w:rsidP="002C09F3">
      <w:pPr>
        <w:widowControl w:val="0"/>
        <w:spacing w:line="294" w:lineRule="exact"/>
        <w:ind w:left="162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004631F0" w:rsidRPr="004631F0">
        <w:rPr>
          <w:rFonts w:ascii="Times New Roman" w:hAnsi="Times New Roman" w:cs="Times New Roman"/>
          <w:color w:val="365F91"/>
          <w:sz w:val="24"/>
          <w:szCs w:val="24"/>
        </w:rPr>
        <w:t>Aggregated capacity set-aside for Grandfathered obligations</w:t>
      </w:r>
    </w:p>
    <w:p w:rsidR="00A52681" w:rsidRDefault="00A52681" w:rsidP="00A52681">
      <w:pPr>
        <w:widowControl w:val="0"/>
        <w:tabs>
          <w:tab w:val="left" w:pos="60"/>
        </w:tabs>
        <w:spacing w:line="294" w:lineRule="exact"/>
        <w:rPr>
          <w:rFonts w:ascii="Times New Roman" w:hAnsi="Times New Roman" w:cs="Times New Roman"/>
          <w:color w:val="365F91"/>
          <w:sz w:val="24"/>
          <w:szCs w:val="24"/>
        </w:rPr>
      </w:pPr>
    </w:p>
    <w:p w:rsidR="004631F0" w:rsidRDefault="004631F0" w:rsidP="004631F0">
      <w:pPr>
        <w:widowControl w:val="0"/>
        <w:spacing w:line="284"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____ </w:t>
      </w:r>
      <w:r w:rsidRPr="004631F0">
        <w:rPr>
          <w:rFonts w:ascii="Times New Roman" w:hAnsi="Times New Roman" w:cs="Times New Roman"/>
          <w:color w:val="365F91"/>
          <w:sz w:val="24"/>
          <w:szCs w:val="24"/>
        </w:rPr>
        <w:t>Firm roll-over rights</w:t>
      </w:r>
    </w:p>
    <w:p w:rsidR="004631F0" w:rsidRDefault="004631F0" w:rsidP="004631F0">
      <w:pPr>
        <w:widowControl w:val="0"/>
        <w:tabs>
          <w:tab w:val="left" w:pos="1080"/>
        </w:tabs>
        <w:spacing w:line="284" w:lineRule="exact"/>
        <w:ind w:left="1620" w:hanging="1620"/>
        <w:rPr>
          <w:rFonts w:ascii="Times New Roman" w:hAnsi="Times New Roman" w:cs="Times New Roman"/>
          <w:color w:val="365F91"/>
          <w:sz w:val="24"/>
          <w:szCs w:val="24"/>
        </w:rPr>
      </w:pPr>
    </w:p>
    <w:p w:rsidR="004631F0" w:rsidRDefault="004631F0" w:rsidP="004631F0">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371485">
        <w:t xml:space="preserve"> </w:t>
      </w:r>
      <w:r w:rsidRPr="004631F0">
        <w:rPr>
          <w:rFonts w:ascii="Times New Roman" w:hAnsi="Times New Roman" w:cs="Times New Roman"/>
          <w:color w:val="365F91"/>
          <w:sz w:val="24"/>
          <w:szCs w:val="24"/>
        </w:rPr>
        <w:t>Any firm and non-firm adjustments applied by the T</w:t>
      </w:r>
      <w:r w:rsidR="00AD27EE">
        <w:rPr>
          <w:rFonts w:ascii="Times New Roman" w:hAnsi="Times New Roman" w:cs="Times New Roman"/>
          <w:color w:val="365F91"/>
          <w:sz w:val="24"/>
          <w:szCs w:val="24"/>
        </w:rPr>
        <w:t>SP</w:t>
      </w:r>
      <w:r w:rsidRPr="004631F0">
        <w:rPr>
          <w:rFonts w:ascii="Times New Roman" w:hAnsi="Times New Roman" w:cs="Times New Roman"/>
          <w:color w:val="365F91"/>
          <w:sz w:val="24"/>
          <w:szCs w:val="24"/>
        </w:rPr>
        <w:t xml:space="preserve"> to reflect parallel path impacts</w:t>
      </w:r>
    </w:p>
    <w:p w:rsidR="004631F0" w:rsidRDefault="004631F0" w:rsidP="004631F0">
      <w:pPr>
        <w:widowControl w:val="0"/>
        <w:tabs>
          <w:tab w:val="left" w:pos="1080"/>
        </w:tabs>
        <w:spacing w:line="284" w:lineRule="exact"/>
        <w:ind w:left="1620" w:hanging="1620"/>
        <w:rPr>
          <w:rFonts w:ascii="Times New Roman" w:hAnsi="Times New Roman" w:cs="Times New Roman"/>
          <w:color w:val="365F91"/>
          <w:sz w:val="24"/>
          <w:szCs w:val="24"/>
        </w:rPr>
      </w:pPr>
    </w:p>
    <w:p w:rsidR="004631F0" w:rsidRPr="00A74C27" w:rsidRDefault="004631F0" w:rsidP="004631F0">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4F2D45">
        <w:t xml:space="preserve"> </w:t>
      </w:r>
      <w:r w:rsidRPr="004631F0">
        <w:rPr>
          <w:rFonts w:ascii="Times New Roman" w:hAnsi="Times New Roman" w:cs="Times New Roman"/>
          <w:color w:val="365F91"/>
          <w:sz w:val="24"/>
          <w:szCs w:val="24"/>
        </w:rPr>
        <w:t>Power flow models and underlying assumptions</w:t>
      </w:r>
    </w:p>
    <w:p w:rsidR="00CA7084" w:rsidRDefault="00CA7084" w:rsidP="004631F0">
      <w:pPr>
        <w:ind w:left="1620"/>
        <w:rPr>
          <w:rFonts w:ascii="Times New Roman" w:hAnsi="Times New Roman" w:cs="Times New Roman"/>
          <w:b/>
          <w:bCs/>
          <w:color w:val="365F91"/>
          <w:sz w:val="24"/>
          <w:szCs w:val="24"/>
        </w:rPr>
      </w:pPr>
    </w:p>
    <w:p w:rsidR="004631F0" w:rsidRDefault="004631F0" w:rsidP="004631F0">
      <w:pPr>
        <w:ind w:left="1620"/>
        <w:rPr>
          <w:rFonts w:ascii="Times New Roman" w:hAnsi="Times New Roman" w:cs="Times New Roman"/>
          <w:color w:val="365F91"/>
          <w:sz w:val="24"/>
          <w:szCs w:val="24"/>
        </w:rPr>
      </w:pPr>
      <w:r w:rsidRPr="004631F0">
        <w:rPr>
          <w:rFonts w:ascii="Times New Roman" w:hAnsi="Times New Roman" w:cs="Times New Roman"/>
          <w:b/>
          <w:bCs/>
          <w:color w:val="365F91"/>
          <w:sz w:val="24"/>
          <w:szCs w:val="24"/>
        </w:rPr>
        <w:t xml:space="preserve">____ </w:t>
      </w:r>
      <w:r w:rsidRPr="004631F0">
        <w:rPr>
          <w:rFonts w:ascii="Times New Roman" w:hAnsi="Times New Roman" w:cs="Times New Roman"/>
          <w:b/>
          <w:bCs/>
          <w:color w:val="365F91"/>
          <w:sz w:val="24"/>
          <w:szCs w:val="24"/>
        </w:rPr>
        <w:tab/>
      </w:r>
      <w:r w:rsidRPr="004631F0">
        <w:rPr>
          <w:rFonts w:ascii="Times New Roman" w:hAnsi="Times New Roman" w:cs="Times New Roman"/>
          <w:color w:val="365F91"/>
          <w:sz w:val="24"/>
          <w:szCs w:val="24"/>
        </w:rPr>
        <w:t>Contingencies, provided in one or more of the following formats:</w:t>
      </w:r>
    </w:p>
    <w:p w:rsidR="00CA7084" w:rsidRPr="004631F0" w:rsidRDefault="00CA7084" w:rsidP="004631F0">
      <w:pPr>
        <w:ind w:left="1620"/>
        <w:rPr>
          <w:rFonts w:ascii="Times New Roman" w:hAnsi="Times New Roman" w:cs="Times New Roman"/>
          <w:color w:val="365F91"/>
          <w:sz w:val="24"/>
          <w:szCs w:val="24"/>
        </w:rPr>
      </w:pPr>
    </w:p>
    <w:p w:rsid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4631F0">
        <w:rPr>
          <w:rFonts w:ascii="Times New Roman" w:hAnsi="Times New Roman" w:cs="Times New Roman"/>
          <w:color w:val="365F91"/>
          <w:sz w:val="24"/>
          <w:szCs w:val="24"/>
        </w:rPr>
        <w:t>A list of Elements</w:t>
      </w:r>
    </w:p>
    <w:p w:rsidR="00CA7084" w:rsidRPr="004631F0" w:rsidRDefault="00CA7084" w:rsidP="004631F0">
      <w:pPr>
        <w:ind w:left="2232"/>
        <w:rPr>
          <w:rFonts w:ascii="Times New Roman" w:hAnsi="Times New Roman" w:cs="Times New Roman"/>
          <w:color w:val="365F91"/>
          <w:sz w:val="24"/>
          <w:szCs w:val="24"/>
        </w:rPr>
      </w:pPr>
    </w:p>
    <w:p w:rsid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 xml:space="preserve">____ </w:t>
      </w:r>
      <w:r w:rsidRPr="004631F0">
        <w:rPr>
          <w:rFonts w:ascii="Times New Roman" w:hAnsi="Times New Roman" w:cs="Times New Roman"/>
          <w:color w:val="365F91"/>
          <w:sz w:val="24"/>
          <w:szCs w:val="24"/>
        </w:rPr>
        <w:t>A list of Flowgates</w:t>
      </w:r>
    </w:p>
    <w:p w:rsidR="00CA7084" w:rsidRPr="004631F0" w:rsidRDefault="00CA7084" w:rsidP="004631F0">
      <w:pPr>
        <w:ind w:left="2232"/>
        <w:rPr>
          <w:rFonts w:ascii="Times New Roman" w:hAnsi="Times New Roman" w:cs="Times New Roman"/>
          <w:color w:val="365F91"/>
          <w:sz w:val="24"/>
          <w:szCs w:val="24"/>
        </w:rPr>
      </w:pPr>
    </w:p>
    <w:p w:rsidR="004631F0" w:rsidRPr="004631F0" w:rsidRDefault="004631F0" w:rsidP="004631F0">
      <w:pPr>
        <w:ind w:left="2232"/>
        <w:rPr>
          <w:rFonts w:ascii="Times New Roman" w:hAnsi="Times New Roman" w:cs="Times New Roman"/>
          <w:color w:val="365F91"/>
          <w:sz w:val="24"/>
          <w:szCs w:val="24"/>
        </w:rPr>
      </w:pPr>
      <w:r>
        <w:rPr>
          <w:rFonts w:ascii="Times New Roman" w:hAnsi="Times New Roman" w:cs="Times New Roman"/>
          <w:color w:val="365F91"/>
          <w:sz w:val="24"/>
          <w:szCs w:val="24"/>
        </w:rPr>
        <w:t>____</w:t>
      </w:r>
      <w:r w:rsidR="00A13147">
        <w:rPr>
          <w:rFonts w:ascii="Times New Roman" w:hAnsi="Times New Roman" w:cs="Times New Roman"/>
          <w:color w:val="365F91"/>
          <w:sz w:val="24"/>
          <w:szCs w:val="24"/>
        </w:rPr>
        <w:t xml:space="preserve"> </w:t>
      </w:r>
      <w:r w:rsidRPr="004631F0">
        <w:rPr>
          <w:rFonts w:ascii="Times New Roman" w:hAnsi="Times New Roman" w:cs="Times New Roman"/>
          <w:color w:val="365F91"/>
          <w:sz w:val="24"/>
          <w:szCs w:val="24"/>
        </w:rPr>
        <w:t>A set of selection criteria that can be applied to the Transmission model used by the T</w:t>
      </w:r>
      <w:r w:rsidR="00AD27EE">
        <w:rPr>
          <w:rFonts w:ascii="Times New Roman" w:hAnsi="Times New Roman" w:cs="Times New Roman"/>
          <w:color w:val="365F91"/>
          <w:sz w:val="24"/>
          <w:szCs w:val="24"/>
        </w:rPr>
        <w:t>OP</w:t>
      </w:r>
      <w:r w:rsidRPr="004631F0">
        <w:rPr>
          <w:rFonts w:ascii="Times New Roman" w:hAnsi="Times New Roman" w:cs="Times New Roman"/>
          <w:color w:val="365F91"/>
          <w:sz w:val="24"/>
          <w:szCs w:val="24"/>
        </w:rPr>
        <w:t xml:space="preserve"> and/or T</w:t>
      </w:r>
      <w:r w:rsidR="00AD27EE">
        <w:rPr>
          <w:rFonts w:ascii="Times New Roman" w:hAnsi="Times New Roman" w:cs="Times New Roman"/>
          <w:color w:val="365F91"/>
          <w:sz w:val="24"/>
          <w:szCs w:val="24"/>
        </w:rPr>
        <w:t>SP</w:t>
      </w:r>
      <w:r w:rsidR="00A13147">
        <w:rPr>
          <w:rFonts w:ascii="Times New Roman" w:hAnsi="Times New Roman" w:cs="Times New Roman"/>
          <w:color w:val="365F91"/>
          <w:sz w:val="24"/>
          <w:szCs w:val="24"/>
        </w:rPr>
        <w:t>.</w:t>
      </w:r>
    </w:p>
    <w:p w:rsidR="004631F0" w:rsidRDefault="004631F0" w:rsidP="004631F0">
      <w:pPr>
        <w:ind w:left="1620"/>
        <w:rPr>
          <w:rFonts w:ascii="Times New Roman" w:hAnsi="Times New Roman" w:cs="Times New Roman"/>
          <w:color w:val="003366"/>
          <w:sz w:val="24"/>
          <w:szCs w:val="24"/>
        </w:rPr>
      </w:pPr>
      <w:r>
        <w:rPr>
          <w:rFonts w:ascii="Times New Roman" w:hAnsi="Times New Roman" w:cs="Times New Roman"/>
          <w:color w:val="365F91"/>
          <w:sz w:val="24"/>
          <w:szCs w:val="24"/>
        </w:rPr>
        <w:t>.</w:t>
      </w:r>
    </w:p>
    <w:p w:rsidR="004631F0" w:rsidRDefault="004631F0" w:rsidP="004631F0">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00A13147" w:rsidRPr="00A13147">
        <w:rPr>
          <w:rFonts w:ascii="Times New Roman" w:hAnsi="Times New Roman" w:cs="Times New Roman"/>
          <w:color w:val="365F91"/>
          <w:sz w:val="24"/>
          <w:szCs w:val="24"/>
        </w:rPr>
        <w:t>Facility Ratings</w:t>
      </w:r>
    </w:p>
    <w:p w:rsidR="004631F0" w:rsidRDefault="004631F0" w:rsidP="004631F0">
      <w:pPr>
        <w:ind w:left="2160"/>
        <w:rPr>
          <w:rFonts w:ascii="Times New Roman" w:hAnsi="Times New Roman" w:cs="Times New Roman"/>
          <w:color w:val="003366"/>
          <w:sz w:val="24"/>
          <w:szCs w:val="24"/>
        </w:rPr>
      </w:pPr>
    </w:p>
    <w:p w:rsidR="004631F0" w:rsidRDefault="004631F0" w:rsidP="004631F0">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00A13147" w:rsidRPr="00A13147">
        <w:rPr>
          <w:rFonts w:ascii="Times New Roman" w:hAnsi="Times New Roman" w:cs="Times New Roman"/>
          <w:color w:val="365F91"/>
          <w:sz w:val="24"/>
          <w:szCs w:val="24"/>
        </w:rPr>
        <w:t>Any other services that impact Existing Transmission Commitments (ETCs)</w:t>
      </w:r>
    </w:p>
    <w:p w:rsidR="004631F0" w:rsidRDefault="004631F0" w:rsidP="004631F0">
      <w:pPr>
        <w:widowControl w:val="0"/>
        <w:tabs>
          <w:tab w:val="left" w:pos="60"/>
        </w:tabs>
        <w:spacing w:line="294" w:lineRule="exact"/>
        <w:rPr>
          <w:rFonts w:ascii="Times New Roman" w:hAnsi="Times New Roman" w:cs="Times New Roman"/>
          <w:color w:val="365F91"/>
          <w:sz w:val="24"/>
          <w:szCs w:val="24"/>
        </w:rPr>
      </w:pPr>
    </w:p>
    <w:p w:rsidR="004631F0" w:rsidRPr="005E50A4" w:rsidRDefault="004631F0" w:rsidP="004631F0">
      <w:pPr>
        <w:widowControl w:val="0"/>
        <w:spacing w:line="294" w:lineRule="exact"/>
        <w:ind w:left="162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00A13147" w:rsidRPr="00A13147">
        <w:rPr>
          <w:rFonts w:ascii="Times New Roman" w:hAnsi="Times New Roman" w:cs="Times New Roman"/>
          <w:color w:val="365F91"/>
          <w:sz w:val="24"/>
          <w:szCs w:val="24"/>
        </w:rPr>
        <w:t>Values of CBM and TRM for all ATC Paths or Flowgates</w:t>
      </w:r>
    </w:p>
    <w:p w:rsidR="004631F0" w:rsidRDefault="004631F0" w:rsidP="00A52681">
      <w:pPr>
        <w:widowControl w:val="0"/>
        <w:tabs>
          <w:tab w:val="left" w:pos="60"/>
        </w:tabs>
        <w:spacing w:line="294" w:lineRule="exact"/>
        <w:rPr>
          <w:rFonts w:ascii="Times New Roman" w:hAnsi="Times New Roman" w:cs="Times New Roman"/>
          <w:color w:val="365F91"/>
          <w:sz w:val="24"/>
          <w:szCs w:val="24"/>
        </w:rPr>
      </w:pPr>
    </w:p>
    <w:p w:rsidR="00A13147" w:rsidRDefault="00A13147" w:rsidP="00A13147">
      <w:pPr>
        <w:widowControl w:val="0"/>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____ </w:t>
      </w:r>
      <w:r w:rsidRPr="00A13147">
        <w:rPr>
          <w:rFonts w:ascii="Times New Roman" w:hAnsi="Times New Roman" w:cs="Times New Roman"/>
          <w:color w:val="365F91"/>
          <w:sz w:val="24"/>
          <w:szCs w:val="24"/>
        </w:rPr>
        <w:t>Value</w:t>
      </w:r>
      <w:r w:rsidR="00AD27EE">
        <w:rPr>
          <w:rFonts w:ascii="Times New Roman" w:hAnsi="Times New Roman" w:cs="Times New Roman"/>
          <w:color w:val="365F91"/>
          <w:sz w:val="24"/>
          <w:szCs w:val="24"/>
        </w:rPr>
        <w:t xml:space="preserve">s of </w:t>
      </w:r>
      <w:r w:rsidRPr="00A13147">
        <w:rPr>
          <w:rFonts w:ascii="Times New Roman" w:hAnsi="Times New Roman" w:cs="Times New Roman"/>
          <w:color w:val="365F91"/>
          <w:sz w:val="24"/>
          <w:szCs w:val="24"/>
        </w:rPr>
        <w:t>TFC and AFC for any Flowgates considered by the T</w:t>
      </w:r>
      <w:r w:rsidR="00AD27EE">
        <w:rPr>
          <w:rFonts w:ascii="Times New Roman" w:hAnsi="Times New Roman" w:cs="Times New Roman"/>
          <w:color w:val="365F91"/>
          <w:sz w:val="24"/>
          <w:szCs w:val="24"/>
        </w:rPr>
        <w:t>SP</w:t>
      </w:r>
      <w:r w:rsidRPr="00A13147">
        <w:rPr>
          <w:rFonts w:ascii="Times New Roman" w:hAnsi="Times New Roman" w:cs="Times New Roman"/>
          <w:color w:val="365F91"/>
          <w:sz w:val="24"/>
          <w:szCs w:val="24"/>
        </w:rPr>
        <w:t xml:space="preserve"> receiving the request when selling Transmission service</w:t>
      </w:r>
    </w:p>
    <w:p w:rsidR="00A13147" w:rsidRDefault="00A13147" w:rsidP="00A13147">
      <w:pPr>
        <w:widowControl w:val="0"/>
        <w:tabs>
          <w:tab w:val="left" w:pos="1080"/>
        </w:tabs>
        <w:spacing w:line="284" w:lineRule="exact"/>
        <w:ind w:left="1620" w:hanging="1620"/>
        <w:rPr>
          <w:rFonts w:ascii="Times New Roman" w:hAnsi="Times New Roman" w:cs="Times New Roman"/>
          <w:color w:val="365F91"/>
          <w:sz w:val="24"/>
          <w:szCs w:val="24"/>
        </w:rPr>
      </w:pPr>
    </w:p>
    <w:p w:rsidR="00A13147" w:rsidRDefault="00A13147" w:rsidP="00A13147">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371485">
        <w:t xml:space="preserve"> </w:t>
      </w:r>
      <w:r w:rsidRPr="00A13147">
        <w:rPr>
          <w:rFonts w:ascii="Times New Roman" w:hAnsi="Times New Roman" w:cs="Times New Roman"/>
          <w:color w:val="365F91"/>
          <w:sz w:val="24"/>
          <w:szCs w:val="24"/>
        </w:rPr>
        <w:t>Values of TTC and ATC for all ATC Paths for those T</w:t>
      </w:r>
      <w:r w:rsidR="00AD27EE">
        <w:rPr>
          <w:rFonts w:ascii="Times New Roman" w:hAnsi="Times New Roman" w:cs="Times New Roman"/>
          <w:color w:val="365F91"/>
          <w:sz w:val="24"/>
          <w:szCs w:val="24"/>
        </w:rPr>
        <w:t>SPs</w:t>
      </w:r>
      <w:r w:rsidRPr="00A13147">
        <w:rPr>
          <w:rFonts w:ascii="Times New Roman" w:hAnsi="Times New Roman" w:cs="Times New Roman"/>
          <w:color w:val="365F91"/>
          <w:sz w:val="24"/>
          <w:szCs w:val="24"/>
        </w:rPr>
        <w:t xml:space="preserve"> receiving the request that do not consider Flowgates when selling Transmission Service</w:t>
      </w:r>
    </w:p>
    <w:p w:rsidR="00A13147" w:rsidRDefault="00A13147" w:rsidP="00A13147">
      <w:pPr>
        <w:widowControl w:val="0"/>
        <w:tabs>
          <w:tab w:val="left" w:pos="1080"/>
        </w:tabs>
        <w:spacing w:line="284" w:lineRule="exact"/>
        <w:ind w:left="1620" w:hanging="1620"/>
        <w:rPr>
          <w:rFonts w:ascii="Times New Roman" w:hAnsi="Times New Roman" w:cs="Times New Roman"/>
          <w:color w:val="365F91"/>
          <w:sz w:val="24"/>
          <w:szCs w:val="24"/>
        </w:rPr>
      </w:pPr>
    </w:p>
    <w:p w:rsidR="00A13147" w:rsidRPr="00A74C27" w:rsidRDefault="00A13147" w:rsidP="00A13147">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4F2D45">
        <w:t xml:space="preserve"> </w:t>
      </w:r>
      <w:r w:rsidRPr="00A13147">
        <w:rPr>
          <w:rFonts w:ascii="Times New Roman" w:hAnsi="Times New Roman" w:cs="Times New Roman"/>
          <w:color w:val="365F91"/>
          <w:sz w:val="24"/>
          <w:szCs w:val="24"/>
        </w:rPr>
        <w:t>Source and sink identification and mapping to the model</w:t>
      </w:r>
    </w:p>
    <w:p w:rsidR="00A13147" w:rsidRDefault="00A13147" w:rsidP="00A13147">
      <w:pPr>
        <w:widowControl w:val="0"/>
        <w:spacing w:line="240" w:lineRule="exact"/>
        <w:rPr>
          <w:rFonts w:ascii="Times New Roman" w:hAnsi="Times New Roman" w:cs="Times New Roman"/>
          <w:color w:val="003366"/>
          <w:sz w:val="24"/>
          <w:szCs w:val="24"/>
        </w:rPr>
      </w:pPr>
    </w:p>
    <w:p w:rsidR="00A13147" w:rsidRDefault="00A13147" w:rsidP="00A13147">
      <w:pPr>
        <w:ind w:left="90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A13147">
        <w:rPr>
          <w:rFonts w:ascii="Times New Roman" w:hAnsi="Times New Roman" w:cs="Times New Roman"/>
          <w:color w:val="365F91"/>
          <w:sz w:val="24"/>
          <w:szCs w:val="24"/>
        </w:rPr>
        <w:t>T</w:t>
      </w:r>
      <w:r w:rsidR="00AD27EE">
        <w:rPr>
          <w:rFonts w:ascii="Times New Roman" w:hAnsi="Times New Roman" w:cs="Times New Roman"/>
          <w:color w:val="365F91"/>
          <w:sz w:val="24"/>
          <w:szCs w:val="24"/>
        </w:rPr>
        <w:t>he TSP</w:t>
      </w:r>
      <w:r w:rsidRPr="00A13147">
        <w:rPr>
          <w:rFonts w:ascii="Times New Roman" w:hAnsi="Times New Roman" w:cs="Times New Roman"/>
          <w:color w:val="365F91"/>
          <w:sz w:val="24"/>
          <w:szCs w:val="24"/>
        </w:rPr>
        <w:t xml:space="preserve"> </w:t>
      </w:r>
      <w:r w:rsidR="00CA7084">
        <w:rPr>
          <w:rFonts w:ascii="Times New Roman" w:hAnsi="Times New Roman" w:cs="Times New Roman"/>
          <w:color w:val="365F91"/>
          <w:sz w:val="24"/>
          <w:szCs w:val="24"/>
        </w:rPr>
        <w:t>made</w:t>
      </w:r>
      <w:r w:rsidRPr="00A13147">
        <w:rPr>
          <w:rFonts w:ascii="Times New Roman" w:hAnsi="Times New Roman" w:cs="Times New Roman"/>
          <w:color w:val="365F91"/>
          <w:sz w:val="24"/>
          <w:szCs w:val="24"/>
        </w:rPr>
        <w:t xml:space="preserve"> its own current data available, in the format maintained by the T</w:t>
      </w:r>
      <w:r w:rsidR="00AD27EE">
        <w:rPr>
          <w:rFonts w:ascii="Times New Roman" w:hAnsi="Times New Roman" w:cs="Times New Roman"/>
          <w:color w:val="365F91"/>
          <w:sz w:val="24"/>
          <w:szCs w:val="24"/>
        </w:rPr>
        <w:t>SP</w:t>
      </w:r>
      <w:r w:rsidRPr="00A13147">
        <w:rPr>
          <w:rFonts w:ascii="Times New Roman" w:hAnsi="Times New Roman" w:cs="Times New Roman"/>
          <w:color w:val="365F91"/>
          <w:sz w:val="24"/>
          <w:szCs w:val="24"/>
        </w:rPr>
        <w:t>, for up to 13 months into the future (subject to confidentiality and security requirements</w:t>
      </w:r>
      <w:r w:rsidR="00AD27EE">
        <w:rPr>
          <w:rFonts w:ascii="Times New Roman" w:hAnsi="Times New Roman" w:cs="Times New Roman"/>
          <w:color w:val="365F91"/>
          <w:sz w:val="24"/>
          <w:szCs w:val="24"/>
        </w:rPr>
        <w:t>)</w:t>
      </w:r>
    </w:p>
    <w:p w:rsidR="00A13147" w:rsidRDefault="00A13147" w:rsidP="00A13147">
      <w:pPr>
        <w:ind w:left="1620"/>
        <w:rPr>
          <w:rFonts w:ascii="Times New Roman" w:hAnsi="Times New Roman" w:cs="Times New Roman"/>
          <w:color w:val="003366"/>
          <w:sz w:val="24"/>
          <w:szCs w:val="24"/>
        </w:rPr>
      </w:pPr>
    </w:p>
    <w:p w:rsidR="00A13147" w:rsidRDefault="00A13147" w:rsidP="00A13147">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A13147">
        <w:rPr>
          <w:rFonts w:ascii="Times New Roman" w:hAnsi="Times New Roman" w:cs="Times New Roman"/>
          <w:color w:val="365F91"/>
          <w:sz w:val="24"/>
          <w:szCs w:val="24"/>
        </w:rPr>
        <w:t>If the T</w:t>
      </w:r>
      <w:r w:rsidR="00AD27EE">
        <w:rPr>
          <w:rFonts w:ascii="Times New Roman" w:hAnsi="Times New Roman" w:cs="Times New Roman"/>
          <w:color w:val="365F91"/>
          <w:sz w:val="24"/>
          <w:szCs w:val="24"/>
        </w:rPr>
        <w:t>SP</w:t>
      </w:r>
      <w:r w:rsidRPr="00A13147">
        <w:rPr>
          <w:rFonts w:ascii="Times New Roman" w:hAnsi="Times New Roman" w:cs="Times New Roman"/>
          <w:color w:val="365F91"/>
          <w:sz w:val="24"/>
          <w:szCs w:val="24"/>
        </w:rPr>
        <w:t xml:space="preserve"> use</w:t>
      </w:r>
      <w:r w:rsidR="00CA7084">
        <w:rPr>
          <w:rFonts w:ascii="Times New Roman" w:hAnsi="Times New Roman" w:cs="Times New Roman"/>
          <w:color w:val="365F91"/>
          <w:sz w:val="24"/>
          <w:szCs w:val="24"/>
        </w:rPr>
        <w:t>d</w:t>
      </w:r>
      <w:r w:rsidRPr="00A13147">
        <w:rPr>
          <w:rFonts w:ascii="Times New Roman" w:hAnsi="Times New Roman" w:cs="Times New Roman"/>
          <w:color w:val="365F91"/>
          <w:sz w:val="24"/>
          <w:szCs w:val="24"/>
        </w:rPr>
        <w:t xml:space="preserve"> the data requested in its transfer or Flowgate capability calculations, it ma</w:t>
      </w:r>
      <w:r w:rsidR="00CA7084">
        <w:rPr>
          <w:rFonts w:ascii="Times New Roman" w:hAnsi="Times New Roman" w:cs="Times New Roman"/>
          <w:color w:val="365F91"/>
          <w:sz w:val="24"/>
          <w:szCs w:val="24"/>
        </w:rPr>
        <w:t>d</w:t>
      </w:r>
      <w:r w:rsidRPr="00A13147">
        <w:rPr>
          <w:rFonts w:ascii="Times New Roman" w:hAnsi="Times New Roman" w:cs="Times New Roman"/>
          <w:color w:val="365F91"/>
          <w:sz w:val="24"/>
          <w:szCs w:val="24"/>
        </w:rPr>
        <w:t>e the data used availabl</w:t>
      </w:r>
      <w:r>
        <w:rPr>
          <w:rFonts w:ascii="Times New Roman" w:hAnsi="Times New Roman" w:cs="Times New Roman"/>
          <w:color w:val="365F91"/>
          <w:sz w:val="24"/>
          <w:szCs w:val="24"/>
        </w:rPr>
        <w:t>e</w:t>
      </w:r>
    </w:p>
    <w:p w:rsidR="00A13147" w:rsidRDefault="00A13147" w:rsidP="00A13147">
      <w:pPr>
        <w:ind w:left="2160"/>
        <w:rPr>
          <w:rFonts w:ascii="Times New Roman" w:hAnsi="Times New Roman" w:cs="Times New Roman"/>
          <w:color w:val="003366"/>
          <w:sz w:val="24"/>
          <w:szCs w:val="24"/>
        </w:rPr>
      </w:pPr>
    </w:p>
    <w:p w:rsidR="00A13147" w:rsidRDefault="00A13147" w:rsidP="00A13147">
      <w:pPr>
        <w:ind w:left="1620"/>
        <w:rPr>
          <w:rFonts w:ascii="Times New Roman" w:hAnsi="Times New Roman" w:cs="Times New Roman"/>
          <w:color w:val="003366"/>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A13147">
        <w:rPr>
          <w:rFonts w:ascii="Times New Roman" w:hAnsi="Times New Roman" w:cs="Times New Roman"/>
          <w:color w:val="365F91"/>
          <w:sz w:val="24"/>
          <w:szCs w:val="24"/>
        </w:rPr>
        <w:t>If the T</w:t>
      </w:r>
      <w:r w:rsidR="00AD27EE">
        <w:rPr>
          <w:rFonts w:ascii="Times New Roman" w:hAnsi="Times New Roman" w:cs="Times New Roman"/>
          <w:color w:val="365F91"/>
          <w:sz w:val="24"/>
          <w:szCs w:val="24"/>
        </w:rPr>
        <w:t xml:space="preserve">SP </w:t>
      </w:r>
      <w:r w:rsidRPr="00A13147">
        <w:rPr>
          <w:rFonts w:ascii="Times New Roman" w:hAnsi="Times New Roman" w:cs="Times New Roman"/>
          <w:color w:val="365F91"/>
          <w:sz w:val="24"/>
          <w:szCs w:val="24"/>
        </w:rPr>
        <w:t>d</w:t>
      </w:r>
      <w:r w:rsidR="00CA7084">
        <w:rPr>
          <w:rFonts w:ascii="Times New Roman" w:hAnsi="Times New Roman" w:cs="Times New Roman"/>
          <w:color w:val="365F91"/>
          <w:sz w:val="24"/>
          <w:szCs w:val="24"/>
        </w:rPr>
        <w:t>id</w:t>
      </w:r>
      <w:r w:rsidRPr="00A13147">
        <w:rPr>
          <w:rFonts w:ascii="Times New Roman" w:hAnsi="Times New Roman" w:cs="Times New Roman"/>
          <w:color w:val="365F91"/>
          <w:sz w:val="24"/>
          <w:szCs w:val="24"/>
        </w:rPr>
        <w:t xml:space="preserve"> not use the data requested in its transfer or Flowgate capability calculations, but maintain</w:t>
      </w:r>
      <w:r w:rsidR="00CA7084">
        <w:rPr>
          <w:rFonts w:ascii="Times New Roman" w:hAnsi="Times New Roman" w:cs="Times New Roman"/>
          <w:color w:val="365F91"/>
          <w:sz w:val="24"/>
          <w:szCs w:val="24"/>
        </w:rPr>
        <w:t>ed</w:t>
      </w:r>
      <w:r w:rsidRPr="00A13147">
        <w:rPr>
          <w:rFonts w:ascii="Times New Roman" w:hAnsi="Times New Roman" w:cs="Times New Roman"/>
          <w:color w:val="365F91"/>
          <w:sz w:val="24"/>
          <w:szCs w:val="24"/>
        </w:rPr>
        <w:t xml:space="preserve"> that data, it </w:t>
      </w:r>
      <w:r w:rsidR="00CA7084">
        <w:rPr>
          <w:rFonts w:ascii="Times New Roman" w:hAnsi="Times New Roman" w:cs="Times New Roman"/>
          <w:color w:val="365F91"/>
          <w:sz w:val="24"/>
          <w:szCs w:val="24"/>
        </w:rPr>
        <w:t>made</w:t>
      </w:r>
      <w:r w:rsidRPr="00A13147">
        <w:rPr>
          <w:rFonts w:ascii="Times New Roman" w:hAnsi="Times New Roman" w:cs="Times New Roman"/>
          <w:color w:val="365F91"/>
          <w:sz w:val="24"/>
          <w:szCs w:val="24"/>
        </w:rPr>
        <w:t xml:space="preserve"> that data available</w:t>
      </w:r>
    </w:p>
    <w:p w:rsidR="00A13147" w:rsidRDefault="00A13147" w:rsidP="00A13147">
      <w:pPr>
        <w:widowControl w:val="0"/>
        <w:tabs>
          <w:tab w:val="left" w:pos="60"/>
        </w:tabs>
        <w:spacing w:line="294" w:lineRule="exact"/>
        <w:rPr>
          <w:rFonts w:ascii="Times New Roman" w:hAnsi="Times New Roman" w:cs="Times New Roman"/>
          <w:color w:val="365F91"/>
          <w:sz w:val="24"/>
          <w:szCs w:val="24"/>
        </w:rPr>
      </w:pPr>
    </w:p>
    <w:p w:rsidR="00A13147" w:rsidRPr="005E50A4" w:rsidRDefault="00A13147" w:rsidP="00A13147">
      <w:pPr>
        <w:widowControl w:val="0"/>
        <w:spacing w:line="294" w:lineRule="exact"/>
        <w:ind w:left="162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A13147">
        <w:rPr>
          <w:rFonts w:ascii="Times New Roman" w:hAnsi="Times New Roman" w:cs="Times New Roman"/>
          <w:color w:val="365F91"/>
          <w:sz w:val="24"/>
          <w:szCs w:val="24"/>
        </w:rPr>
        <w:t>If the T</w:t>
      </w:r>
      <w:r w:rsidR="00AD27EE">
        <w:rPr>
          <w:rFonts w:ascii="Times New Roman" w:hAnsi="Times New Roman" w:cs="Times New Roman"/>
          <w:color w:val="365F91"/>
          <w:sz w:val="24"/>
          <w:szCs w:val="24"/>
        </w:rPr>
        <w:t>SP</w:t>
      </w:r>
      <w:r w:rsidRPr="00A13147">
        <w:rPr>
          <w:rFonts w:ascii="Times New Roman" w:hAnsi="Times New Roman" w:cs="Times New Roman"/>
          <w:color w:val="365F91"/>
          <w:sz w:val="24"/>
          <w:szCs w:val="24"/>
        </w:rPr>
        <w:t xml:space="preserve"> d</w:t>
      </w:r>
      <w:r w:rsidR="00CA7084">
        <w:rPr>
          <w:rFonts w:ascii="Times New Roman" w:hAnsi="Times New Roman" w:cs="Times New Roman"/>
          <w:color w:val="365F91"/>
          <w:sz w:val="24"/>
          <w:szCs w:val="24"/>
        </w:rPr>
        <w:t>id</w:t>
      </w:r>
      <w:r w:rsidRPr="00A13147">
        <w:rPr>
          <w:rFonts w:ascii="Times New Roman" w:hAnsi="Times New Roman" w:cs="Times New Roman"/>
          <w:color w:val="365F91"/>
          <w:sz w:val="24"/>
          <w:szCs w:val="24"/>
        </w:rPr>
        <w:t xml:space="preserve"> not use the data requested in its transfer or Flowgate capability calculations, and d</w:t>
      </w:r>
      <w:r w:rsidR="00CA7084">
        <w:rPr>
          <w:rFonts w:ascii="Times New Roman" w:hAnsi="Times New Roman" w:cs="Times New Roman"/>
          <w:color w:val="365F91"/>
          <w:sz w:val="24"/>
          <w:szCs w:val="24"/>
        </w:rPr>
        <w:t>id</w:t>
      </w:r>
      <w:r w:rsidRPr="00A13147">
        <w:rPr>
          <w:rFonts w:ascii="Times New Roman" w:hAnsi="Times New Roman" w:cs="Times New Roman"/>
          <w:color w:val="365F91"/>
          <w:sz w:val="24"/>
          <w:szCs w:val="24"/>
        </w:rPr>
        <w:t xml:space="preserve"> not maintain that data, it </w:t>
      </w:r>
      <w:r w:rsidR="00CA7084">
        <w:rPr>
          <w:rFonts w:ascii="Times New Roman" w:hAnsi="Times New Roman" w:cs="Times New Roman"/>
          <w:color w:val="365F91"/>
          <w:sz w:val="24"/>
          <w:szCs w:val="24"/>
        </w:rPr>
        <w:t>is</w:t>
      </w:r>
      <w:r w:rsidRPr="00A13147">
        <w:rPr>
          <w:rFonts w:ascii="Times New Roman" w:hAnsi="Times New Roman" w:cs="Times New Roman"/>
          <w:color w:val="365F91"/>
          <w:sz w:val="24"/>
          <w:szCs w:val="24"/>
        </w:rPr>
        <w:t xml:space="preserve"> not required to make that data availa</w:t>
      </w:r>
      <w:r>
        <w:rPr>
          <w:rFonts w:ascii="Times New Roman" w:hAnsi="Times New Roman" w:cs="Times New Roman"/>
          <w:color w:val="365F91"/>
          <w:sz w:val="24"/>
          <w:szCs w:val="24"/>
        </w:rPr>
        <w:t>ble.</w:t>
      </w:r>
    </w:p>
    <w:p w:rsidR="00A13147" w:rsidRDefault="00A13147" w:rsidP="00A52681">
      <w:pPr>
        <w:widowControl w:val="0"/>
        <w:tabs>
          <w:tab w:val="left" w:pos="60"/>
        </w:tabs>
        <w:spacing w:line="294" w:lineRule="exact"/>
        <w:rPr>
          <w:rFonts w:ascii="Times New Roman" w:hAnsi="Times New Roman" w:cs="Times New Roman"/>
          <w:color w:val="365F91"/>
          <w:sz w:val="24"/>
          <w:szCs w:val="24"/>
        </w:rPr>
      </w:pPr>
    </w:p>
    <w:p w:rsidR="00A13147" w:rsidRDefault="00A13147" w:rsidP="00AD27EE">
      <w:pPr>
        <w:ind w:left="900"/>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____ </w:t>
      </w:r>
      <w:r w:rsidRPr="00A74C27">
        <w:rPr>
          <w:rFonts w:ascii="Times New Roman" w:hAnsi="Times New Roman" w:cs="Times New Roman"/>
          <w:b/>
          <w:bCs/>
          <w:color w:val="365F91"/>
          <w:sz w:val="24"/>
          <w:szCs w:val="24"/>
        </w:rPr>
        <w:tab/>
      </w:r>
      <w:r w:rsidRPr="00A13147">
        <w:rPr>
          <w:rFonts w:ascii="Times New Roman" w:hAnsi="Times New Roman" w:cs="Times New Roman"/>
          <w:color w:val="365F91"/>
          <w:sz w:val="24"/>
          <w:szCs w:val="24"/>
        </w:rPr>
        <w:t xml:space="preserve">This data </w:t>
      </w:r>
      <w:r w:rsidR="001B4BC9">
        <w:rPr>
          <w:rFonts w:ascii="Times New Roman" w:hAnsi="Times New Roman" w:cs="Times New Roman"/>
          <w:color w:val="365F91"/>
          <w:sz w:val="24"/>
          <w:szCs w:val="24"/>
        </w:rPr>
        <w:t>was</w:t>
      </w:r>
      <w:r w:rsidRPr="00A13147">
        <w:rPr>
          <w:rFonts w:ascii="Times New Roman" w:hAnsi="Times New Roman" w:cs="Times New Roman"/>
          <w:color w:val="365F91"/>
          <w:sz w:val="24"/>
          <w:szCs w:val="24"/>
        </w:rPr>
        <w:t xml:space="preserve"> made available by </w:t>
      </w:r>
      <w:r w:rsidRPr="009C4C52">
        <w:rPr>
          <w:rFonts w:ascii="Times New Roman" w:hAnsi="Times New Roman" w:cs="Times New Roman"/>
          <w:color w:val="365F91"/>
          <w:sz w:val="24"/>
          <w:szCs w:val="24"/>
        </w:rPr>
        <w:t xml:space="preserve">the Transmission </w:t>
      </w:r>
      <w:r w:rsidR="009C4C52" w:rsidRPr="00F24B53">
        <w:rPr>
          <w:rFonts w:ascii="Times New Roman" w:hAnsi="Times New Roman" w:cs="Times New Roman"/>
          <w:i/>
          <w:color w:val="365F91"/>
          <w:sz w:val="24"/>
          <w:szCs w:val="24"/>
        </w:rPr>
        <w:t>Service</w:t>
      </w:r>
      <w:r w:rsidR="009C4C52" w:rsidRPr="001B4BC9">
        <w:rPr>
          <w:rFonts w:ascii="Times New Roman" w:hAnsi="Times New Roman" w:cs="Times New Roman"/>
          <w:i/>
          <w:color w:val="365F91"/>
          <w:sz w:val="24"/>
          <w:szCs w:val="24"/>
        </w:rPr>
        <w:t xml:space="preserve"> </w:t>
      </w:r>
      <w:r w:rsidRPr="009C4C52">
        <w:rPr>
          <w:rFonts w:ascii="Times New Roman" w:hAnsi="Times New Roman" w:cs="Times New Roman"/>
          <w:color w:val="365F91"/>
          <w:sz w:val="24"/>
          <w:szCs w:val="24"/>
        </w:rPr>
        <w:t>Provider on the</w:t>
      </w:r>
      <w:r w:rsidRPr="00A13147">
        <w:rPr>
          <w:rFonts w:ascii="Times New Roman" w:hAnsi="Times New Roman" w:cs="Times New Roman"/>
          <w:color w:val="365F91"/>
          <w:sz w:val="24"/>
          <w:szCs w:val="24"/>
        </w:rPr>
        <w:t xml:space="preserve"> schedule specified by the requestor (but no more frequently than once per hour, unless mutually agreed to by the requester and the provider</w:t>
      </w:r>
      <w:r w:rsidR="00AD27EE">
        <w:rPr>
          <w:rFonts w:ascii="Times New Roman" w:hAnsi="Times New Roman" w:cs="Times New Roman"/>
          <w:color w:val="365F91"/>
          <w:sz w:val="24"/>
          <w:szCs w:val="24"/>
        </w:rPr>
        <w:t>)</w:t>
      </w:r>
      <w:r>
        <w:rPr>
          <w:rFonts w:ascii="Times New Roman" w:hAnsi="Times New Roman" w:cs="Times New Roman"/>
          <w:color w:val="365F91"/>
          <w:sz w:val="24"/>
          <w:szCs w:val="24"/>
        </w:rPr>
        <w:t>.</w:t>
      </w:r>
    </w:p>
    <w:p w:rsidR="004631F0" w:rsidRPr="005E50A4" w:rsidRDefault="004631F0"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A52681" w:rsidRDefault="00A52681" w:rsidP="00CF6A6F">
      <w:pPr>
        <w:pStyle w:val="Requirement"/>
        <w:numPr>
          <w:ilvl w:val="0"/>
          <w:numId w:val="0"/>
        </w:numPr>
        <w:tabs>
          <w:tab w:val="left" w:pos="2592"/>
        </w:tabs>
        <w:ind w:left="934"/>
      </w:pPr>
    </w:p>
    <w:p w:rsidR="00CF6A6F" w:rsidRDefault="00CF6A6F" w:rsidP="00CF6A6F"/>
    <w:p w:rsidR="001D0C8A" w:rsidRPr="00001951" w:rsidRDefault="001D0C8A" w:rsidP="00F250BD">
      <w:pPr>
        <w:pStyle w:val="Heading1"/>
        <w:rPr>
          <w:sz w:val="48"/>
          <w:szCs w:val="48"/>
        </w:rPr>
      </w:pPr>
      <w:r w:rsidRPr="00001951">
        <w:rPr>
          <w:sz w:val="48"/>
          <w:szCs w:val="48"/>
        </w:rPr>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B80E8C" w:rsidRPr="00A7057B" w:rsidRDefault="00B80E8C" w:rsidP="00B80E8C">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rsidR="001D0C8A" w:rsidRPr="00001951" w:rsidRDefault="001D0C8A" w:rsidP="001D0C8A">
      <w:pPr>
        <w:widowControl w:val="0"/>
        <w:tabs>
          <w:tab w:val="left" w:pos="900"/>
          <w:tab w:val="left" w:pos="6360"/>
        </w:tabs>
        <w:spacing w:line="294" w:lineRule="exact"/>
        <w:rPr>
          <w:rFonts w:ascii="Times New Roman" w:hAnsi="Times New Roman" w:cs="Times New Roman"/>
          <w:b/>
          <w:bCs/>
          <w:color w:val="264D74"/>
          <w:sz w:val="48"/>
          <w:szCs w:val="48"/>
        </w:rPr>
      </w:pPr>
    </w:p>
    <w:p w:rsidR="001D0C8A" w:rsidRDefault="001D0C8A" w:rsidP="001D0C8A">
      <w:pPr>
        <w:pStyle w:val="Heading1"/>
        <w:rPr>
          <w:sz w:val="20"/>
          <w:szCs w:val="20"/>
        </w:rPr>
      </w:pPr>
      <w:r w:rsidRPr="00001951">
        <w:rPr>
          <w:sz w:val="48"/>
          <w:szCs w:val="48"/>
        </w:rPr>
        <w:t>Compliance Findings Summary</w:t>
      </w:r>
      <w:r>
        <w:t xml:space="preserve"> </w:t>
      </w:r>
      <w:r w:rsidRPr="001F77C7">
        <w:rPr>
          <w:sz w:val="20"/>
          <w:szCs w:val="20"/>
        </w:rPr>
        <w:t>(to be filled out by auditor)</w:t>
      </w:r>
    </w:p>
    <w:p w:rsidR="00001951" w:rsidRPr="00001951" w:rsidRDefault="00001951" w:rsidP="00001951"/>
    <w:tbl>
      <w:tblPr>
        <w:tblW w:w="0" w:type="auto"/>
        <w:tblLook w:val="00A0" w:firstRow="1" w:lastRow="0" w:firstColumn="1" w:lastColumn="0" w:noHBand="0" w:noVBand="0"/>
      </w:tblPr>
      <w:tblGrid>
        <w:gridCol w:w="692"/>
        <w:gridCol w:w="536"/>
        <w:gridCol w:w="571"/>
        <w:gridCol w:w="737"/>
        <w:gridCol w:w="563"/>
        <w:gridCol w:w="7917"/>
      </w:tblGrid>
      <w:tr w:rsidR="0065170E" w:rsidRPr="008374A0" w:rsidTr="0065170E">
        <w:tc>
          <w:tcPr>
            <w:tcW w:w="692" w:type="dxa"/>
            <w:tcBorders>
              <w:top w:val="single" w:sz="4" w:space="0" w:color="548DD4"/>
              <w:bottom w:val="single" w:sz="4" w:space="0" w:color="548DD4"/>
            </w:tcBorders>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65170E" w:rsidRPr="008374A0" w:rsidRDefault="008A6A9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65170E" w:rsidRPr="008374A0" w:rsidTr="0065170E">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65170E"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65170E" w:rsidRPr="008374A0" w:rsidRDefault="0065170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2361EE">
        <w:rPr>
          <w:rFonts w:ascii="Times New Roman" w:hAnsi="Times New Roman" w:cs="Times New Roman"/>
          <w:b/>
          <w:sz w:val="24"/>
          <w:szCs w:val="24"/>
        </w:rPr>
        <w:t>October 5, 2011</w:t>
      </w:r>
    </w:p>
    <w:p w:rsidR="007B5AA7" w:rsidRPr="007B5AA7" w:rsidRDefault="004631F0"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MOD-001-1</w:t>
      </w:r>
      <w:r w:rsidR="00BA1198">
        <w:rPr>
          <w:rFonts w:ascii="Times New Roman" w:hAnsi="Times New Roman" w:cs="Times New Roman"/>
          <w:b/>
          <w:sz w:val="24"/>
          <w:szCs w:val="24"/>
        </w:rPr>
        <w:t>a</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AB77A0" w:rsidRDefault="00635DEF" w:rsidP="00AB77A0">
      <w:pPr>
        <w:widowControl w:val="0"/>
        <w:tabs>
          <w:tab w:val="left" w:pos="60"/>
        </w:tabs>
        <w:spacing w:line="200" w:lineRule="exact"/>
        <w:rPr>
          <w:rFonts w:ascii="Times New Roman" w:hAnsi="Times New Roman" w:cs="Times New Roman"/>
          <w:b/>
          <w:sz w:val="24"/>
          <w:szCs w:val="24"/>
        </w:rPr>
      </w:pPr>
      <w:r w:rsidRPr="008F391F">
        <w:rPr>
          <w:rFonts w:ascii="Times New Roman" w:hAnsi="Times New Roman" w:cs="Times New Roman"/>
          <w:b/>
          <w:sz w:val="24"/>
          <w:szCs w:val="24"/>
        </w:rPr>
        <w:t>Order 693</w:t>
      </w:r>
    </w:p>
    <w:p w:rsidR="00F87E5A" w:rsidRDefault="00F87E5A" w:rsidP="00AB77A0">
      <w:pPr>
        <w:widowControl w:val="0"/>
        <w:tabs>
          <w:tab w:val="left" w:pos="60"/>
        </w:tabs>
        <w:spacing w:line="200" w:lineRule="exact"/>
        <w:rPr>
          <w:rFonts w:ascii="Times New Roman" w:hAnsi="Times New Roman" w:cs="Times New Roman"/>
          <w:b/>
          <w:sz w:val="24"/>
          <w:szCs w:val="24"/>
        </w:rPr>
      </w:pPr>
    </w:p>
    <w:p w:rsidR="00F87E5A" w:rsidRDefault="00F87E5A"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1027. The Commission adopts the NOPR proposal no</w:t>
      </w:r>
      <w:r>
        <w:rPr>
          <w:rFonts w:ascii="Times New Roman" w:hAnsi="Times New Roman" w:cs="Times New Roman"/>
          <w:sz w:val="24"/>
          <w:szCs w:val="24"/>
        </w:rPr>
        <w:t xml:space="preserve">t to approve or remand MOD-001- </w:t>
      </w:r>
      <w:r w:rsidRPr="00530C61">
        <w:rPr>
          <w:rFonts w:ascii="Times New Roman" w:hAnsi="Times New Roman" w:cs="Times New Roman"/>
          <w:sz w:val="24"/>
          <w:szCs w:val="24"/>
        </w:rPr>
        <w:t>0 until the ERO submits additional information. Con</w:t>
      </w:r>
      <w:r>
        <w:rPr>
          <w:rFonts w:ascii="Times New Roman" w:hAnsi="Times New Roman" w:cs="Times New Roman"/>
          <w:sz w:val="24"/>
          <w:szCs w:val="24"/>
        </w:rPr>
        <w:t xml:space="preserve">sistent with Order No. 890, and </w:t>
      </w:r>
      <w:r w:rsidRPr="00530C61">
        <w:rPr>
          <w:rFonts w:ascii="Times New Roman" w:hAnsi="Times New Roman" w:cs="Times New Roman"/>
          <w:sz w:val="24"/>
          <w:szCs w:val="24"/>
        </w:rPr>
        <w:t>comments received in response to the NOPR, th</w:t>
      </w:r>
      <w:r>
        <w:rPr>
          <w:rFonts w:ascii="Times New Roman" w:hAnsi="Times New Roman" w:cs="Times New Roman"/>
          <w:sz w:val="24"/>
          <w:szCs w:val="24"/>
        </w:rPr>
        <w:t xml:space="preserve">e Commission directs the ERO to </w:t>
      </w:r>
      <w:r w:rsidRPr="00530C61">
        <w:rPr>
          <w:rFonts w:ascii="Times New Roman" w:hAnsi="Times New Roman" w:cs="Times New Roman"/>
          <w:sz w:val="24"/>
          <w:szCs w:val="24"/>
        </w:rPr>
        <w:t>consider modifications of MOD-001-0 through the Reliability Standards development</w:t>
      </w:r>
      <w:r>
        <w:rPr>
          <w:rFonts w:ascii="Times New Roman" w:hAnsi="Times New Roman" w:cs="Times New Roman"/>
          <w:sz w:val="24"/>
          <w:szCs w:val="24"/>
        </w:rPr>
        <w:t xml:space="preserve"> </w:t>
      </w:r>
      <w:r w:rsidRPr="00530C61">
        <w:rPr>
          <w:rFonts w:ascii="Times New Roman" w:hAnsi="Times New Roman" w:cs="Times New Roman"/>
          <w:sz w:val="24"/>
          <w:szCs w:val="24"/>
        </w:rPr>
        <w:t>process as discussed below.</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 xml:space="preserve">1029. We continue to believe that MOD-001-0 </w:t>
      </w:r>
      <w:r>
        <w:rPr>
          <w:rFonts w:ascii="Times New Roman" w:hAnsi="Times New Roman" w:cs="Times New Roman"/>
          <w:sz w:val="24"/>
          <w:szCs w:val="24"/>
        </w:rPr>
        <w:t xml:space="preserve">should, at a minimum, provide a </w:t>
      </w:r>
      <w:r w:rsidRPr="00530C61">
        <w:rPr>
          <w:rFonts w:ascii="Times New Roman" w:hAnsi="Times New Roman" w:cs="Times New Roman"/>
          <w:sz w:val="24"/>
          <w:szCs w:val="24"/>
        </w:rPr>
        <w:t>framework for ATC, TTC and ETC calculations.</w:t>
      </w:r>
      <w:r>
        <w:rPr>
          <w:rFonts w:ascii="Times New Roman" w:hAnsi="Times New Roman" w:cs="Times New Roman"/>
          <w:sz w:val="24"/>
          <w:szCs w:val="24"/>
        </w:rPr>
        <w:t xml:space="preserve"> This framework should consider </w:t>
      </w:r>
      <w:r w:rsidRPr="00530C61">
        <w:rPr>
          <w:rFonts w:ascii="Times New Roman" w:hAnsi="Times New Roman" w:cs="Times New Roman"/>
          <w:sz w:val="24"/>
          <w:szCs w:val="24"/>
        </w:rPr>
        <w:t>industry-wide consistency of all ATC components and ce</w:t>
      </w:r>
      <w:r>
        <w:rPr>
          <w:rFonts w:ascii="Times New Roman" w:hAnsi="Times New Roman" w:cs="Times New Roman"/>
          <w:sz w:val="24"/>
          <w:szCs w:val="24"/>
        </w:rPr>
        <w:t xml:space="preserve">rtain data inputs and exchange, </w:t>
      </w:r>
      <w:r w:rsidRPr="00530C61">
        <w:rPr>
          <w:rFonts w:ascii="Times New Roman" w:hAnsi="Times New Roman" w:cs="Times New Roman"/>
          <w:sz w:val="24"/>
          <w:szCs w:val="24"/>
        </w:rPr>
        <w:t>modeling assumptions, calculation frequency, and coordi</w:t>
      </w:r>
      <w:r>
        <w:rPr>
          <w:rFonts w:ascii="Times New Roman" w:hAnsi="Times New Roman" w:cs="Times New Roman"/>
          <w:sz w:val="24"/>
          <w:szCs w:val="24"/>
        </w:rPr>
        <w:t xml:space="preserve">nation of data relevant for the </w:t>
      </w:r>
      <w:r w:rsidRPr="00530C61">
        <w:rPr>
          <w:rFonts w:ascii="Times New Roman" w:hAnsi="Times New Roman" w:cs="Times New Roman"/>
          <w:sz w:val="24"/>
          <w:szCs w:val="24"/>
        </w:rPr>
        <w:t xml:space="preserve">calculation of ATC. Consistent with Order No. </w:t>
      </w:r>
      <w:r>
        <w:rPr>
          <w:rFonts w:ascii="Times New Roman" w:hAnsi="Times New Roman" w:cs="Times New Roman"/>
          <w:sz w:val="24"/>
          <w:szCs w:val="24"/>
        </w:rPr>
        <w:t xml:space="preserve">890, we do not require a single </w:t>
      </w:r>
      <w:r w:rsidRPr="00530C61">
        <w:rPr>
          <w:rFonts w:ascii="Times New Roman" w:hAnsi="Times New Roman" w:cs="Times New Roman"/>
          <w:sz w:val="24"/>
          <w:szCs w:val="24"/>
        </w:rPr>
        <w:t>computational process for calculating ATC for several reaso</w:t>
      </w:r>
      <w:r>
        <w:rPr>
          <w:rFonts w:ascii="Times New Roman" w:hAnsi="Times New Roman" w:cs="Times New Roman"/>
          <w:sz w:val="24"/>
          <w:szCs w:val="24"/>
        </w:rPr>
        <w:t xml:space="preserve">ns. First, it is not our intent </w:t>
      </w:r>
      <w:r w:rsidRPr="00530C61">
        <w:rPr>
          <w:rFonts w:ascii="Times New Roman" w:hAnsi="Times New Roman" w:cs="Times New Roman"/>
          <w:sz w:val="24"/>
          <w:szCs w:val="24"/>
        </w:rPr>
        <w:t>to require transmission providers to incur the expense o</w:t>
      </w:r>
      <w:r>
        <w:rPr>
          <w:rFonts w:ascii="Times New Roman" w:hAnsi="Times New Roman" w:cs="Times New Roman"/>
          <w:sz w:val="24"/>
          <w:szCs w:val="24"/>
        </w:rPr>
        <w:t xml:space="preserve">f developing and adopting a new </w:t>
      </w:r>
      <w:r w:rsidRPr="00530C61">
        <w:rPr>
          <w:rFonts w:ascii="Times New Roman" w:hAnsi="Times New Roman" w:cs="Times New Roman"/>
          <w:sz w:val="24"/>
          <w:szCs w:val="24"/>
        </w:rPr>
        <w:t>one-size-fits-all software package to calculate AT</w:t>
      </w:r>
      <w:r>
        <w:rPr>
          <w:rFonts w:ascii="Times New Roman" w:hAnsi="Times New Roman" w:cs="Times New Roman"/>
          <w:sz w:val="24"/>
          <w:szCs w:val="24"/>
        </w:rPr>
        <w:t xml:space="preserve">C without proven benefits. More </w:t>
      </w:r>
      <w:r w:rsidRPr="00530C61">
        <w:rPr>
          <w:rFonts w:ascii="Times New Roman" w:hAnsi="Times New Roman" w:cs="Times New Roman"/>
          <w:sz w:val="24"/>
          <w:szCs w:val="24"/>
        </w:rPr>
        <w:t>importantly, we find that the potential for discrimination a</w:t>
      </w:r>
      <w:r>
        <w:rPr>
          <w:rFonts w:ascii="Times New Roman" w:hAnsi="Times New Roman" w:cs="Times New Roman"/>
          <w:sz w:val="24"/>
          <w:szCs w:val="24"/>
        </w:rPr>
        <w:t xml:space="preserve">nd decline in reliability level </w:t>
      </w:r>
      <w:r w:rsidRPr="00530C61">
        <w:rPr>
          <w:rFonts w:ascii="Times New Roman" w:hAnsi="Times New Roman" w:cs="Times New Roman"/>
          <w:sz w:val="24"/>
          <w:szCs w:val="24"/>
        </w:rPr>
        <w:t>does not lie primarily in the choice of an ATC calculation</w:t>
      </w:r>
      <w:r>
        <w:rPr>
          <w:rFonts w:ascii="Times New Roman" w:hAnsi="Times New Roman" w:cs="Times New Roman"/>
          <w:sz w:val="24"/>
          <w:szCs w:val="24"/>
        </w:rPr>
        <w:t xml:space="preserve"> methodology, but rather in the </w:t>
      </w:r>
      <w:r w:rsidRPr="00530C61">
        <w:rPr>
          <w:rFonts w:ascii="Times New Roman" w:hAnsi="Times New Roman" w:cs="Times New Roman"/>
          <w:sz w:val="24"/>
          <w:szCs w:val="24"/>
        </w:rPr>
        <w:t>consistent application of its components, and input and exchange data, along wit</w:t>
      </w:r>
      <w:r>
        <w:rPr>
          <w:rFonts w:ascii="Times New Roman" w:hAnsi="Times New Roman" w:cs="Times New Roman"/>
          <w:sz w:val="24"/>
          <w:szCs w:val="24"/>
        </w:rPr>
        <w:t xml:space="preserve">h </w:t>
      </w:r>
      <w:r w:rsidRPr="00530C61">
        <w:rPr>
          <w:rFonts w:ascii="Times New Roman" w:hAnsi="Times New Roman" w:cs="Times New Roman"/>
          <w:sz w:val="24"/>
          <w:szCs w:val="24"/>
        </w:rPr>
        <w:t>modeling assumptions. Consistent and transpare</w:t>
      </w:r>
      <w:r>
        <w:rPr>
          <w:rFonts w:ascii="Times New Roman" w:hAnsi="Times New Roman" w:cs="Times New Roman"/>
          <w:sz w:val="24"/>
          <w:szCs w:val="24"/>
        </w:rPr>
        <w:t xml:space="preserve">nt ATC calculation will provide </w:t>
      </w:r>
      <w:r w:rsidRPr="00530C61">
        <w:rPr>
          <w:rFonts w:ascii="Times New Roman" w:hAnsi="Times New Roman" w:cs="Times New Roman"/>
          <w:sz w:val="24"/>
          <w:szCs w:val="24"/>
        </w:rPr>
        <w:t>equivalent results between regions and will therefo</w:t>
      </w:r>
      <w:r>
        <w:rPr>
          <w:rFonts w:ascii="Times New Roman" w:hAnsi="Times New Roman" w:cs="Times New Roman"/>
          <w:sz w:val="24"/>
          <w:szCs w:val="24"/>
        </w:rPr>
        <w:t xml:space="preserve">re prevent transmission service </w:t>
      </w:r>
      <w:r w:rsidRPr="00530C61">
        <w:rPr>
          <w:rFonts w:ascii="Times New Roman" w:hAnsi="Times New Roman" w:cs="Times New Roman"/>
          <w:sz w:val="24"/>
          <w:szCs w:val="24"/>
        </w:rPr>
        <w:t>providers from overselling transfer capability that can str</w:t>
      </w:r>
      <w:r>
        <w:rPr>
          <w:rFonts w:ascii="Times New Roman" w:hAnsi="Times New Roman" w:cs="Times New Roman"/>
          <w:sz w:val="24"/>
          <w:szCs w:val="24"/>
        </w:rPr>
        <w:t xml:space="preserve">ess conditions on their own and </w:t>
      </w:r>
      <w:r w:rsidRPr="00530C61">
        <w:rPr>
          <w:rFonts w:ascii="Times New Roman" w:hAnsi="Times New Roman" w:cs="Times New Roman"/>
          <w:sz w:val="24"/>
          <w:szCs w:val="24"/>
        </w:rPr>
        <w:t>adjacent systems, and jeopardize reliability. In additi</w:t>
      </w:r>
      <w:r>
        <w:rPr>
          <w:rFonts w:ascii="Times New Roman" w:hAnsi="Times New Roman" w:cs="Times New Roman"/>
          <w:sz w:val="24"/>
          <w:szCs w:val="24"/>
        </w:rPr>
        <w:t xml:space="preserve">on, we are especially concerned </w:t>
      </w:r>
      <w:r w:rsidRPr="00530C61">
        <w:rPr>
          <w:rFonts w:ascii="Times New Roman" w:hAnsi="Times New Roman" w:cs="Times New Roman"/>
          <w:sz w:val="24"/>
          <w:szCs w:val="24"/>
        </w:rPr>
        <w:t>with the lack of data exchange between neighboring transmission service providers,</w:t>
      </w:r>
      <w:r>
        <w:rPr>
          <w:rFonts w:ascii="Times New Roman" w:hAnsi="Times New Roman" w:cs="Times New Roman"/>
          <w:sz w:val="24"/>
          <w:szCs w:val="24"/>
        </w:rPr>
        <w:t xml:space="preserve"> </w:t>
      </w:r>
      <w:r w:rsidRPr="00530C61">
        <w:rPr>
          <w:rFonts w:ascii="Times New Roman" w:hAnsi="Times New Roman" w:cs="Times New Roman"/>
          <w:sz w:val="24"/>
          <w:szCs w:val="24"/>
        </w:rPr>
        <w:t>which is a prerequisite for accurate calculation of ATC.</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1030. The Commission understands that the ERO cu</w:t>
      </w:r>
      <w:r>
        <w:rPr>
          <w:rFonts w:ascii="Times New Roman" w:hAnsi="Times New Roman" w:cs="Times New Roman"/>
          <w:sz w:val="24"/>
          <w:szCs w:val="24"/>
        </w:rPr>
        <w:t xml:space="preserve">rrently is developing three ATC </w:t>
      </w:r>
      <w:r w:rsidRPr="00530C61">
        <w:rPr>
          <w:rFonts w:ascii="Times New Roman" w:hAnsi="Times New Roman" w:cs="Times New Roman"/>
          <w:sz w:val="24"/>
          <w:szCs w:val="24"/>
        </w:rPr>
        <w:t>calculation methodologies (contract or rating path ATC, network ATC, and network AFC).</w:t>
      </w:r>
      <w:r w:rsidRPr="00530C61">
        <w:rPr>
          <w:rFonts w:ascii="Times New Roman" w:hAnsi="Times New Roman" w:cs="Times New Roman"/>
          <w:b/>
          <w:bCs/>
          <w:sz w:val="24"/>
          <w:szCs w:val="24"/>
        </w:rPr>
        <w:t xml:space="preserve">331 </w:t>
      </w:r>
      <w:r w:rsidRPr="00530C61">
        <w:rPr>
          <w:rFonts w:ascii="Times New Roman" w:hAnsi="Times New Roman" w:cs="Times New Roman"/>
          <w:sz w:val="24"/>
          <w:szCs w:val="24"/>
        </w:rPr>
        <w:t xml:space="preserve">If all of the ATC components, and certain </w:t>
      </w:r>
      <w:r>
        <w:rPr>
          <w:rFonts w:ascii="Times New Roman" w:hAnsi="Times New Roman" w:cs="Times New Roman"/>
          <w:sz w:val="24"/>
          <w:szCs w:val="24"/>
        </w:rPr>
        <w:t xml:space="preserve">data inputs and assumptions are </w:t>
      </w:r>
      <w:r w:rsidRPr="00530C61">
        <w:rPr>
          <w:rFonts w:ascii="Times New Roman" w:hAnsi="Times New Roman" w:cs="Times New Roman"/>
          <w:sz w:val="24"/>
          <w:szCs w:val="24"/>
        </w:rPr>
        <w:t>consistent, the three ATC calculation methodologi</w:t>
      </w:r>
      <w:r>
        <w:rPr>
          <w:rFonts w:ascii="Times New Roman" w:hAnsi="Times New Roman" w:cs="Times New Roman"/>
          <w:sz w:val="24"/>
          <w:szCs w:val="24"/>
        </w:rPr>
        <w:t xml:space="preserve">es will produce predictable and </w:t>
      </w:r>
      <w:r w:rsidRPr="00530C61">
        <w:rPr>
          <w:rFonts w:ascii="Times New Roman" w:hAnsi="Times New Roman" w:cs="Times New Roman"/>
          <w:sz w:val="24"/>
          <w:szCs w:val="24"/>
        </w:rPr>
        <w:t>sufficiently accurate, consistent, equivalent and replicable results. It is therefore not</w:t>
      </w:r>
      <w:r>
        <w:rPr>
          <w:rFonts w:ascii="Times New Roman" w:hAnsi="Times New Roman" w:cs="Times New Roman"/>
          <w:sz w:val="24"/>
          <w:szCs w:val="24"/>
        </w:rPr>
        <w:t xml:space="preserve"> </w:t>
      </w:r>
      <w:r w:rsidRPr="00530C61">
        <w:rPr>
          <w:rFonts w:ascii="Times New Roman" w:hAnsi="Times New Roman" w:cs="Times New Roman"/>
          <w:sz w:val="24"/>
          <w:szCs w:val="24"/>
        </w:rPr>
        <w:t>necessary to require a single industry-wide ATC calculation methodology.</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1031. In addition, consistent with Order No. 890, we not</w:t>
      </w:r>
      <w:r>
        <w:rPr>
          <w:rFonts w:ascii="Times New Roman" w:hAnsi="Times New Roman" w:cs="Times New Roman"/>
          <w:sz w:val="24"/>
          <w:szCs w:val="24"/>
        </w:rPr>
        <w:t xml:space="preserve">e that there is neither a </w:t>
      </w:r>
      <w:r w:rsidRPr="00530C61">
        <w:rPr>
          <w:rFonts w:ascii="Times New Roman" w:hAnsi="Times New Roman" w:cs="Times New Roman"/>
          <w:sz w:val="24"/>
          <w:szCs w:val="24"/>
        </w:rPr>
        <w:t>definition of AFC/TFC (Total Flowgate Capability) in the ERO’</w:t>
      </w:r>
      <w:r>
        <w:rPr>
          <w:rFonts w:ascii="Times New Roman" w:hAnsi="Times New Roman" w:cs="Times New Roman"/>
          <w:sz w:val="24"/>
          <w:szCs w:val="24"/>
        </w:rPr>
        <w:t xml:space="preserve">s glossary nor an existing </w:t>
      </w:r>
      <w:r w:rsidRPr="00530C61">
        <w:rPr>
          <w:rFonts w:ascii="Times New Roman" w:hAnsi="Times New Roman" w:cs="Times New Roman"/>
          <w:sz w:val="24"/>
          <w:szCs w:val="24"/>
        </w:rPr>
        <w:t>Reliability Standard that discusses AFC. Consistent</w:t>
      </w:r>
      <w:r>
        <w:rPr>
          <w:rFonts w:ascii="Times New Roman" w:hAnsi="Times New Roman" w:cs="Times New Roman"/>
          <w:sz w:val="24"/>
          <w:szCs w:val="24"/>
        </w:rPr>
        <w:t xml:space="preserve"> with our approach to achieving </w:t>
      </w:r>
      <w:r w:rsidRPr="00530C61">
        <w:rPr>
          <w:rFonts w:ascii="Times New Roman" w:hAnsi="Times New Roman" w:cs="Times New Roman"/>
          <w:sz w:val="24"/>
          <w:szCs w:val="24"/>
        </w:rPr>
        <w:t xml:space="preserve">consistency and transparency, we direct the ERO to develop </w:t>
      </w:r>
      <w:r>
        <w:rPr>
          <w:rFonts w:ascii="Times New Roman" w:hAnsi="Times New Roman" w:cs="Times New Roman"/>
          <w:sz w:val="24"/>
          <w:szCs w:val="24"/>
        </w:rPr>
        <w:t xml:space="preserve">AFC/TFC definitions and </w:t>
      </w:r>
      <w:r w:rsidRPr="00530C61">
        <w:rPr>
          <w:rFonts w:ascii="Times New Roman" w:hAnsi="Times New Roman" w:cs="Times New Roman"/>
          <w:sz w:val="24"/>
          <w:szCs w:val="24"/>
        </w:rPr>
        <w:t>requirements used to identify a particular set of transmiss</w:t>
      </w:r>
      <w:r>
        <w:rPr>
          <w:rFonts w:ascii="Times New Roman" w:hAnsi="Times New Roman" w:cs="Times New Roman"/>
          <w:sz w:val="24"/>
          <w:szCs w:val="24"/>
        </w:rPr>
        <w:t xml:space="preserve">ion facilities as flowgates. We </w:t>
      </w:r>
      <w:r w:rsidRPr="00530C61">
        <w:rPr>
          <w:rFonts w:ascii="Times New Roman" w:hAnsi="Times New Roman" w:cs="Times New Roman"/>
          <w:sz w:val="24"/>
          <w:szCs w:val="24"/>
        </w:rPr>
        <w:t>extend the same requirements for industry-wide consis</w:t>
      </w:r>
      <w:r>
        <w:rPr>
          <w:rFonts w:ascii="Times New Roman" w:hAnsi="Times New Roman" w:cs="Times New Roman"/>
          <w:sz w:val="24"/>
          <w:szCs w:val="24"/>
        </w:rPr>
        <w:t xml:space="preserve">tency of all AFC components and </w:t>
      </w:r>
      <w:r w:rsidRPr="00530C61">
        <w:rPr>
          <w:rFonts w:ascii="Times New Roman" w:hAnsi="Times New Roman" w:cs="Times New Roman"/>
          <w:sz w:val="24"/>
          <w:szCs w:val="24"/>
        </w:rPr>
        <w:t xml:space="preserve">certain data inputs and exchange, modeling assumptions, </w:t>
      </w:r>
      <w:r>
        <w:rPr>
          <w:rFonts w:ascii="Times New Roman" w:hAnsi="Times New Roman" w:cs="Times New Roman"/>
          <w:sz w:val="24"/>
          <w:szCs w:val="24"/>
        </w:rPr>
        <w:t xml:space="preserve">calculation frequency, and </w:t>
      </w:r>
      <w:r w:rsidRPr="00530C61">
        <w:rPr>
          <w:rFonts w:ascii="Times New Roman" w:hAnsi="Times New Roman" w:cs="Times New Roman"/>
          <w:sz w:val="24"/>
          <w:szCs w:val="24"/>
        </w:rPr>
        <w:t xml:space="preserve">coordination of data relevant for the calculation of </w:t>
      </w:r>
      <w:r>
        <w:rPr>
          <w:rFonts w:ascii="Times New Roman" w:hAnsi="Times New Roman" w:cs="Times New Roman"/>
          <w:sz w:val="24"/>
          <w:szCs w:val="24"/>
        </w:rPr>
        <w:t xml:space="preserve">AFC as we stated above for ATC. </w:t>
      </w:r>
      <w:r w:rsidRPr="00530C61">
        <w:rPr>
          <w:rFonts w:ascii="Times New Roman" w:hAnsi="Times New Roman" w:cs="Times New Roman"/>
          <w:sz w:val="24"/>
          <w:szCs w:val="24"/>
        </w:rPr>
        <w:t>However, we remind transmission providers that our reg</w:t>
      </w:r>
      <w:r>
        <w:rPr>
          <w:rFonts w:ascii="Times New Roman" w:hAnsi="Times New Roman" w:cs="Times New Roman"/>
          <w:sz w:val="24"/>
          <w:szCs w:val="24"/>
        </w:rPr>
        <w:t xml:space="preserve">ulations require the posting of </w:t>
      </w:r>
      <w:r w:rsidRPr="00530C61">
        <w:rPr>
          <w:rFonts w:ascii="Times New Roman" w:hAnsi="Times New Roman" w:cs="Times New Roman"/>
          <w:sz w:val="24"/>
          <w:szCs w:val="24"/>
        </w:rPr>
        <w:t>ATC values associated with a particular path, not AFC valu</w:t>
      </w:r>
      <w:r>
        <w:rPr>
          <w:rFonts w:ascii="Times New Roman" w:hAnsi="Times New Roman" w:cs="Times New Roman"/>
          <w:sz w:val="24"/>
          <w:szCs w:val="24"/>
        </w:rPr>
        <w:t xml:space="preserve">es associated with a flowgate. </w:t>
      </w:r>
      <w:r w:rsidRPr="00530C61">
        <w:rPr>
          <w:rFonts w:ascii="Times New Roman" w:hAnsi="Times New Roman" w:cs="Times New Roman"/>
          <w:sz w:val="24"/>
          <w:szCs w:val="24"/>
        </w:rPr>
        <w:t>Accordingly, transmission providers using an AFC me</w:t>
      </w:r>
      <w:r>
        <w:rPr>
          <w:rFonts w:ascii="Times New Roman" w:hAnsi="Times New Roman" w:cs="Times New Roman"/>
          <w:sz w:val="24"/>
          <w:szCs w:val="24"/>
        </w:rPr>
        <w:t xml:space="preserve">thodology must convert flowgate </w:t>
      </w:r>
      <w:r w:rsidRPr="00530C61">
        <w:rPr>
          <w:rFonts w:ascii="Times New Roman" w:hAnsi="Times New Roman" w:cs="Times New Roman"/>
          <w:sz w:val="24"/>
          <w:szCs w:val="24"/>
        </w:rPr>
        <w:t>(AFC) values into path (ATC) values for OASIS posting. In order to display consistent</w:t>
      </w:r>
      <w:r>
        <w:rPr>
          <w:rFonts w:ascii="Times New Roman" w:hAnsi="Times New Roman" w:cs="Times New Roman"/>
          <w:sz w:val="24"/>
          <w:szCs w:val="24"/>
        </w:rPr>
        <w:t xml:space="preserve"> </w:t>
      </w:r>
      <w:r w:rsidRPr="00530C61">
        <w:rPr>
          <w:rFonts w:ascii="Times New Roman" w:hAnsi="Times New Roman" w:cs="Times New Roman"/>
          <w:sz w:val="24"/>
          <w:szCs w:val="24"/>
        </w:rPr>
        <w:t>posting of ATC and TTC values on OASIS, we direct the ER</w:t>
      </w:r>
      <w:r>
        <w:rPr>
          <w:rFonts w:ascii="Times New Roman" w:hAnsi="Times New Roman" w:cs="Times New Roman"/>
          <w:sz w:val="24"/>
          <w:szCs w:val="24"/>
        </w:rPr>
        <w:t xml:space="preserve">O to develop a Requirement </w:t>
      </w:r>
      <w:r w:rsidRPr="00530C61">
        <w:rPr>
          <w:rFonts w:ascii="Times New Roman" w:hAnsi="Times New Roman" w:cs="Times New Roman"/>
          <w:sz w:val="24"/>
          <w:szCs w:val="24"/>
        </w:rPr>
        <w:t>in the Reliability Standard for conversion of</w:t>
      </w:r>
      <w:r>
        <w:rPr>
          <w:rFonts w:ascii="Times New Roman" w:hAnsi="Times New Roman" w:cs="Times New Roman"/>
          <w:sz w:val="24"/>
          <w:szCs w:val="24"/>
        </w:rPr>
        <w:t xml:space="preserve"> AFC into ATC values for use by </w:t>
      </w:r>
      <w:r w:rsidRPr="00530C61">
        <w:rPr>
          <w:rFonts w:ascii="Times New Roman" w:hAnsi="Times New Roman" w:cs="Times New Roman"/>
          <w:sz w:val="24"/>
          <w:szCs w:val="24"/>
        </w:rPr>
        <w:t>transmission providers that currently apply flowgate methodology.</w:t>
      </w:r>
    </w:p>
    <w:p w:rsidR="00AB77A0" w:rsidRPr="00530C61" w:rsidRDefault="00AB77A0" w:rsidP="00AB77A0">
      <w:pPr>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1032. We underscore Order No. 890’s objective of greater consistency in ETC</w:t>
      </w:r>
      <w:r>
        <w:rPr>
          <w:rFonts w:ascii="Times New Roman" w:hAnsi="Times New Roman" w:cs="Times New Roman"/>
          <w:sz w:val="24"/>
          <w:szCs w:val="24"/>
        </w:rPr>
        <w:t xml:space="preserve"> </w:t>
      </w:r>
      <w:r w:rsidRPr="00530C61">
        <w:rPr>
          <w:rFonts w:ascii="Times New Roman" w:hAnsi="Times New Roman" w:cs="Times New Roman"/>
          <w:sz w:val="24"/>
          <w:szCs w:val="24"/>
        </w:rPr>
        <w:t>calculations. The Commission directs the ERO to de</w:t>
      </w:r>
      <w:r>
        <w:rPr>
          <w:rFonts w:ascii="Times New Roman" w:hAnsi="Times New Roman" w:cs="Times New Roman"/>
          <w:sz w:val="24"/>
          <w:szCs w:val="24"/>
        </w:rPr>
        <w:t xml:space="preserve">velop a consistent approach for </w:t>
      </w:r>
      <w:r w:rsidRPr="00530C61">
        <w:rPr>
          <w:rFonts w:ascii="Times New Roman" w:hAnsi="Times New Roman" w:cs="Times New Roman"/>
          <w:sz w:val="24"/>
          <w:szCs w:val="24"/>
        </w:rPr>
        <w:t>determining the amount of transfer capability a transmis</w:t>
      </w:r>
      <w:r>
        <w:rPr>
          <w:rFonts w:ascii="Times New Roman" w:hAnsi="Times New Roman" w:cs="Times New Roman"/>
          <w:sz w:val="24"/>
          <w:szCs w:val="24"/>
        </w:rPr>
        <w:t xml:space="preserve">sion provider may set aside for </w:t>
      </w:r>
      <w:r w:rsidRPr="00530C61">
        <w:rPr>
          <w:rFonts w:ascii="Times New Roman" w:hAnsi="Times New Roman" w:cs="Times New Roman"/>
          <w:sz w:val="24"/>
          <w:szCs w:val="24"/>
        </w:rPr>
        <w:t>its native load and other committed uses. We expect that the ERO will address ETC</w:t>
      </w:r>
      <w:r>
        <w:rPr>
          <w:rFonts w:ascii="Times New Roman" w:hAnsi="Times New Roman" w:cs="Times New Roman"/>
          <w:sz w:val="24"/>
          <w:szCs w:val="24"/>
        </w:rPr>
        <w:t xml:space="preserve"> </w:t>
      </w:r>
      <w:r w:rsidRPr="00530C61">
        <w:rPr>
          <w:rFonts w:ascii="Times New Roman" w:hAnsi="Times New Roman" w:cs="Times New Roman"/>
          <w:sz w:val="24"/>
          <w:szCs w:val="24"/>
        </w:rPr>
        <w:t>through the MOD-001-0 Reliability Standard rather than through a separate Reliability</w:t>
      </w:r>
      <w:r>
        <w:rPr>
          <w:rFonts w:ascii="Times New Roman" w:hAnsi="Times New Roman" w:cs="Times New Roman"/>
          <w:sz w:val="24"/>
          <w:szCs w:val="24"/>
        </w:rPr>
        <w:t xml:space="preserve"> </w:t>
      </w:r>
      <w:r w:rsidRPr="00530C61">
        <w:rPr>
          <w:rFonts w:ascii="Times New Roman" w:hAnsi="Times New Roman" w:cs="Times New Roman"/>
          <w:sz w:val="24"/>
          <w:szCs w:val="24"/>
        </w:rPr>
        <w:t xml:space="preserve">Standard. By using MOD-001-0, the ETC calculation principles can be adjusted to apply </w:t>
      </w:r>
      <w:r>
        <w:rPr>
          <w:rFonts w:ascii="Times New Roman" w:hAnsi="Times New Roman" w:cs="Times New Roman"/>
          <w:sz w:val="24"/>
          <w:szCs w:val="24"/>
        </w:rPr>
        <w:t xml:space="preserve">to each of the three ATC </w:t>
      </w:r>
      <w:r w:rsidRPr="00530C61">
        <w:rPr>
          <w:rFonts w:ascii="Times New Roman" w:hAnsi="Times New Roman" w:cs="Times New Roman"/>
          <w:sz w:val="24"/>
          <w:szCs w:val="24"/>
        </w:rPr>
        <w:t>methodologies being de</w:t>
      </w:r>
      <w:r>
        <w:rPr>
          <w:rFonts w:ascii="Times New Roman" w:hAnsi="Times New Roman" w:cs="Times New Roman"/>
          <w:sz w:val="24"/>
          <w:szCs w:val="24"/>
        </w:rPr>
        <w:t xml:space="preserve">veloped by the ERO. In order to </w:t>
      </w:r>
      <w:r w:rsidRPr="00530C61">
        <w:rPr>
          <w:rFonts w:ascii="Times New Roman" w:hAnsi="Times New Roman" w:cs="Times New Roman"/>
          <w:sz w:val="24"/>
          <w:szCs w:val="24"/>
        </w:rPr>
        <w:t>provide specific direction to public utilities and the ER</w:t>
      </w:r>
      <w:r>
        <w:rPr>
          <w:rFonts w:ascii="Times New Roman" w:hAnsi="Times New Roman" w:cs="Times New Roman"/>
          <w:sz w:val="24"/>
          <w:szCs w:val="24"/>
        </w:rPr>
        <w:t xml:space="preserve">O, we determine that ETC should </w:t>
      </w:r>
      <w:r w:rsidRPr="00530C61">
        <w:rPr>
          <w:rFonts w:ascii="Times New Roman" w:hAnsi="Times New Roman" w:cs="Times New Roman"/>
          <w:sz w:val="24"/>
          <w:szCs w:val="24"/>
        </w:rPr>
        <w:t>be defined to include committed uses of the transmissio</w:t>
      </w:r>
      <w:r>
        <w:rPr>
          <w:rFonts w:ascii="Times New Roman" w:hAnsi="Times New Roman" w:cs="Times New Roman"/>
          <w:sz w:val="24"/>
          <w:szCs w:val="24"/>
        </w:rPr>
        <w:t xml:space="preserve">n system, including: (1) native </w:t>
      </w:r>
      <w:r w:rsidRPr="00530C61">
        <w:rPr>
          <w:rFonts w:ascii="Times New Roman" w:hAnsi="Times New Roman" w:cs="Times New Roman"/>
          <w:sz w:val="24"/>
          <w:szCs w:val="24"/>
        </w:rPr>
        <w:t>load commitments (including network service); (2) grandfa</w:t>
      </w:r>
      <w:r>
        <w:rPr>
          <w:rFonts w:ascii="Times New Roman" w:hAnsi="Times New Roman" w:cs="Times New Roman"/>
          <w:sz w:val="24"/>
          <w:szCs w:val="24"/>
        </w:rPr>
        <w:t xml:space="preserve">thered transmission rights; (3) </w:t>
      </w:r>
      <w:r w:rsidRPr="00530C61">
        <w:rPr>
          <w:rFonts w:ascii="Times New Roman" w:hAnsi="Times New Roman" w:cs="Times New Roman"/>
          <w:sz w:val="24"/>
          <w:szCs w:val="24"/>
        </w:rPr>
        <w:t xml:space="preserve">firm and non-firm point-to-point reservations; (4) rollover </w:t>
      </w:r>
      <w:r>
        <w:rPr>
          <w:rFonts w:ascii="Times New Roman" w:hAnsi="Times New Roman" w:cs="Times New Roman"/>
          <w:sz w:val="24"/>
          <w:szCs w:val="24"/>
        </w:rPr>
        <w:t xml:space="preserve">rights associated with longterm </w:t>
      </w:r>
      <w:r w:rsidRPr="00530C61">
        <w:rPr>
          <w:rFonts w:ascii="Times New Roman" w:hAnsi="Times New Roman" w:cs="Times New Roman"/>
          <w:sz w:val="24"/>
          <w:szCs w:val="24"/>
        </w:rPr>
        <w:t xml:space="preserve">firm service and (5) other uses identified through </w:t>
      </w:r>
      <w:r>
        <w:rPr>
          <w:rFonts w:ascii="Times New Roman" w:hAnsi="Times New Roman" w:cs="Times New Roman"/>
          <w:sz w:val="24"/>
          <w:szCs w:val="24"/>
        </w:rPr>
        <w:t xml:space="preserve">the ERO process. ETC should not </w:t>
      </w:r>
      <w:r w:rsidRPr="00530C61">
        <w:rPr>
          <w:rFonts w:ascii="Times New Roman" w:hAnsi="Times New Roman" w:cs="Times New Roman"/>
          <w:sz w:val="24"/>
          <w:szCs w:val="24"/>
        </w:rPr>
        <w:t>be used to set aside transfer capability for any type of p</w:t>
      </w:r>
      <w:r>
        <w:rPr>
          <w:rFonts w:ascii="Times New Roman" w:hAnsi="Times New Roman" w:cs="Times New Roman"/>
          <w:sz w:val="24"/>
          <w:szCs w:val="24"/>
        </w:rPr>
        <w:t xml:space="preserve">lanning or contingency reserve; </w:t>
      </w:r>
      <w:r w:rsidRPr="00530C61">
        <w:rPr>
          <w:rFonts w:ascii="Times New Roman" w:hAnsi="Times New Roman" w:cs="Times New Roman"/>
          <w:sz w:val="24"/>
          <w:szCs w:val="24"/>
        </w:rPr>
        <w:t>these are to be addressed through CBM and TRM.</w:t>
      </w:r>
      <w:r w:rsidRPr="00530C61">
        <w:rPr>
          <w:rFonts w:ascii="Times New Roman" w:hAnsi="Times New Roman" w:cs="Times New Roman"/>
          <w:b/>
          <w:bCs/>
          <w:sz w:val="24"/>
          <w:szCs w:val="24"/>
        </w:rPr>
        <w:t xml:space="preserve">332 </w:t>
      </w:r>
      <w:r w:rsidRPr="00530C61">
        <w:rPr>
          <w:rFonts w:ascii="Times New Roman" w:hAnsi="Times New Roman" w:cs="Times New Roman"/>
          <w:sz w:val="24"/>
          <w:szCs w:val="24"/>
        </w:rPr>
        <w:t xml:space="preserve">In </w:t>
      </w:r>
      <w:r>
        <w:rPr>
          <w:rFonts w:ascii="Times New Roman" w:hAnsi="Times New Roman" w:cs="Times New Roman"/>
          <w:sz w:val="24"/>
          <w:szCs w:val="24"/>
        </w:rPr>
        <w:t xml:space="preserve">addition, in the short-term ATC </w:t>
      </w:r>
      <w:r w:rsidRPr="00530C61">
        <w:rPr>
          <w:rFonts w:ascii="Times New Roman" w:hAnsi="Times New Roman" w:cs="Times New Roman"/>
          <w:sz w:val="24"/>
          <w:szCs w:val="24"/>
        </w:rPr>
        <w:t>calculation, all reserved but unused transfer capability (non-scheduled) must be released</w:t>
      </w:r>
      <w:r>
        <w:rPr>
          <w:rFonts w:ascii="Times New Roman" w:hAnsi="Times New Roman" w:cs="Times New Roman"/>
          <w:sz w:val="24"/>
          <w:szCs w:val="24"/>
        </w:rPr>
        <w:t xml:space="preserve"> </w:t>
      </w:r>
      <w:r w:rsidRPr="00530C61">
        <w:rPr>
          <w:rFonts w:ascii="Times New Roman" w:hAnsi="Times New Roman" w:cs="Times New Roman"/>
          <w:sz w:val="24"/>
          <w:szCs w:val="24"/>
        </w:rPr>
        <w:t>as non-firm ATC.</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1034. In summary, we direct the ERO to modify MOD-001-0 to provide</w:t>
      </w:r>
      <w:r>
        <w:rPr>
          <w:rFonts w:ascii="Times New Roman" w:hAnsi="Times New Roman" w:cs="Times New Roman"/>
          <w:sz w:val="24"/>
          <w:szCs w:val="24"/>
        </w:rPr>
        <w:t xml:space="preserve"> a framework for </w:t>
      </w:r>
      <w:r w:rsidRPr="00530C61">
        <w:rPr>
          <w:rFonts w:ascii="Times New Roman" w:hAnsi="Times New Roman" w:cs="Times New Roman"/>
          <w:sz w:val="24"/>
          <w:szCs w:val="24"/>
        </w:rPr>
        <w:t>ATC, TTC and ETC calculation that, consistent with the</w:t>
      </w:r>
      <w:r>
        <w:rPr>
          <w:rFonts w:ascii="Times New Roman" w:hAnsi="Times New Roman" w:cs="Times New Roman"/>
          <w:sz w:val="24"/>
          <w:szCs w:val="24"/>
        </w:rPr>
        <w:t xml:space="preserve"> discussion above: (1) requires </w:t>
      </w:r>
      <w:r w:rsidRPr="00530C61">
        <w:rPr>
          <w:rFonts w:ascii="Times New Roman" w:hAnsi="Times New Roman" w:cs="Times New Roman"/>
          <w:sz w:val="24"/>
          <w:szCs w:val="24"/>
        </w:rPr>
        <w:t>industry-wide consistency of all ATC components and ce</w:t>
      </w:r>
      <w:r>
        <w:rPr>
          <w:rFonts w:ascii="Times New Roman" w:hAnsi="Times New Roman" w:cs="Times New Roman"/>
          <w:sz w:val="24"/>
          <w:szCs w:val="24"/>
        </w:rPr>
        <w:t xml:space="preserve">rtain data inputs and exchange, </w:t>
      </w:r>
      <w:r w:rsidRPr="00530C61">
        <w:rPr>
          <w:rFonts w:ascii="Times New Roman" w:hAnsi="Times New Roman" w:cs="Times New Roman"/>
          <w:sz w:val="24"/>
          <w:szCs w:val="24"/>
        </w:rPr>
        <w:t>modeling assumptions, calculation frequency, and coordination of da</w:t>
      </w:r>
      <w:r>
        <w:rPr>
          <w:rFonts w:ascii="Times New Roman" w:hAnsi="Times New Roman" w:cs="Times New Roman"/>
          <w:sz w:val="24"/>
          <w:szCs w:val="24"/>
        </w:rPr>
        <w:t xml:space="preserve">ta relevant for the </w:t>
      </w:r>
      <w:r w:rsidRPr="00530C61">
        <w:rPr>
          <w:rFonts w:ascii="Times New Roman" w:hAnsi="Times New Roman" w:cs="Times New Roman"/>
          <w:sz w:val="24"/>
          <w:szCs w:val="24"/>
        </w:rPr>
        <w:t>calculation of ATC; (2) provides predictable and suf</w:t>
      </w:r>
      <w:r>
        <w:rPr>
          <w:rFonts w:ascii="Times New Roman" w:hAnsi="Times New Roman" w:cs="Times New Roman"/>
          <w:sz w:val="24"/>
          <w:szCs w:val="24"/>
        </w:rPr>
        <w:t xml:space="preserve">ficiently accurate, consistent, </w:t>
      </w:r>
      <w:r w:rsidRPr="00530C61">
        <w:rPr>
          <w:rFonts w:ascii="Times New Roman" w:hAnsi="Times New Roman" w:cs="Times New Roman"/>
          <w:sz w:val="24"/>
          <w:szCs w:val="24"/>
        </w:rPr>
        <w:t>equivalent, and replicable ATC calculations regardless</w:t>
      </w:r>
      <w:r>
        <w:rPr>
          <w:rFonts w:ascii="Times New Roman" w:hAnsi="Times New Roman" w:cs="Times New Roman"/>
          <w:sz w:val="24"/>
          <w:szCs w:val="24"/>
        </w:rPr>
        <w:t xml:space="preserve"> of the methodology used by the </w:t>
      </w:r>
      <w:r w:rsidRPr="00530C61">
        <w:rPr>
          <w:rFonts w:ascii="Times New Roman" w:hAnsi="Times New Roman" w:cs="Times New Roman"/>
          <w:sz w:val="24"/>
          <w:szCs w:val="24"/>
        </w:rPr>
        <w:t>region; (3) provides the definition of AFC and method for its conv</w:t>
      </w:r>
      <w:r>
        <w:rPr>
          <w:rFonts w:ascii="Times New Roman" w:hAnsi="Times New Roman" w:cs="Times New Roman"/>
          <w:sz w:val="24"/>
          <w:szCs w:val="24"/>
        </w:rPr>
        <w:t xml:space="preserve">ersion to ATC; (4) lays </w:t>
      </w:r>
      <w:r w:rsidRPr="00530C61">
        <w:rPr>
          <w:rFonts w:ascii="Times New Roman" w:hAnsi="Times New Roman" w:cs="Times New Roman"/>
          <w:sz w:val="24"/>
          <w:szCs w:val="24"/>
        </w:rPr>
        <w:t xml:space="preserve">out clear instructions on how ETC should be defined </w:t>
      </w:r>
      <w:r>
        <w:rPr>
          <w:rFonts w:ascii="Times New Roman" w:hAnsi="Times New Roman" w:cs="Times New Roman"/>
          <w:sz w:val="24"/>
          <w:szCs w:val="24"/>
        </w:rPr>
        <w:t>and (5) identifies to whom MOD-</w:t>
      </w:r>
      <w:r w:rsidRPr="00530C61">
        <w:rPr>
          <w:rFonts w:ascii="Times New Roman" w:hAnsi="Times New Roman" w:cs="Times New Roman"/>
          <w:sz w:val="24"/>
          <w:szCs w:val="24"/>
        </w:rPr>
        <w:t>001-0 Reliability Standards apply, i.e., users, owners and operators of the Bulk-Power</w:t>
      </w:r>
      <w:r>
        <w:rPr>
          <w:rFonts w:ascii="Times New Roman" w:hAnsi="Times New Roman" w:cs="Times New Roman"/>
          <w:sz w:val="24"/>
          <w:szCs w:val="24"/>
        </w:rPr>
        <w:t xml:space="preserve"> </w:t>
      </w:r>
      <w:r w:rsidRPr="00530C61">
        <w:rPr>
          <w:rFonts w:ascii="Times New Roman" w:hAnsi="Times New Roman" w:cs="Times New Roman"/>
          <w:sz w:val="24"/>
          <w:szCs w:val="24"/>
        </w:rPr>
        <w:t>System.</w:t>
      </w:r>
    </w:p>
    <w:p w:rsidR="00AB77A0"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1036. The Commission adopts the proposal from the NOPR</w:t>
      </w:r>
      <w:r>
        <w:rPr>
          <w:rFonts w:ascii="Times New Roman" w:hAnsi="Times New Roman" w:cs="Times New Roman"/>
          <w:sz w:val="24"/>
          <w:szCs w:val="24"/>
        </w:rPr>
        <w:t xml:space="preserve"> to direct the ERO to modify </w:t>
      </w:r>
      <w:r w:rsidRPr="00530C61">
        <w:rPr>
          <w:rFonts w:ascii="Times New Roman" w:hAnsi="Times New Roman" w:cs="Times New Roman"/>
          <w:sz w:val="24"/>
          <w:szCs w:val="24"/>
        </w:rPr>
        <w:t xml:space="preserve">Reliability Standard MOD-001-0 to require disclosure </w:t>
      </w:r>
      <w:r>
        <w:rPr>
          <w:rFonts w:ascii="Times New Roman" w:hAnsi="Times New Roman" w:cs="Times New Roman"/>
          <w:sz w:val="24"/>
          <w:szCs w:val="24"/>
        </w:rPr>
        <w:t xml:space="preserve">of the algorithms and processes </w:t>
      </w:r>
      <w:r w:rsidRPr="00530C61">
        <w:rPr>
          <w:rFonts w:ascii="Times New Roman" w:hAnsi="Times New Roman" w:cs="Times New Roman"/>
          <w:sz w:val="24"/>
          <w:szCs w:val="24"/>
        </w:rPr>
        <w:t>used in ATC calculation. In addition, consistent wit</w:t>
      </w:r>
      <w:r>
        <w:rPr>
          <w:rFonts w:ascii="Times New Roman" w:hAnsi="Times New Roman" w:cs="Times New Roman"/>
          <w:sz w:val="24"/>
          <w:szCs w:val="24"/>
        </w:rPr>
        <w:t xml:space="preserve">h Order No. 890, the Commission </w:t>
      </w:r>
      <w:r w:rsidRPr="00530C61">
        <w:rPr>
          <w:rFonts w:ascii="Times New Roman" w:hAnsi="Times New Roman" w:cs="Times New Roman"/>
          <w:sz w:val="24"/>
          <w:szCs w:val="24"/>
        </w:rPr>
        <w:t>believes that further clarification is necessary regarding</w:t>
      </w:r>
      <w:r>
        <w:rPr>
          <w:rFonts w:ascii="Times New Roman" w:hAnsi="Times New Roman" w:cs="Times New Roman"/>
          <w:sz w:val="24"/>
          <w:szCs w:val="24"/>
        </w:rPr>
        <w:t xml:space="preserve"> the ATC calculation algorithm </w:t>
      </w:r>
      <w:r w:rsidRPr="00530C61">
        <w:rPr>
          <w:rFonts w:ascii="Times New Roman" w:hAnsi="Times New Roman" w:cs="Times New Roman"/>
          <w:sz w:val="24"/>
          <w:szCs w:val="24"/>
        </w:rPr>
        <w:t>for firm and non-firm ATC.</w:t>
      </w:r>
      <w:r w:rsidRPr="00530C61">
        <w:rPr>
          <w:rFonts w:ascii="Times New Roman" w:hAnsi="Times New Roman" w:cs="Times New Roman"/>
          <w:b/>
          <w:bCs/>
          <w:sz w:val="24"/>
          <w:szCs w:val="24"/>
        </w:rPr>
        <w:t xml:space="preserve">333 </w:t>
      </w:r>
      <w:r w:rsidRPr="00530C61">
        <w:rPr>
          <w:rFonts w:ascii="Times New Roman" w:hAnsi="Times New Roman" w:cs="Times New Roman"/>
          <w:sz w:val="24"/>
          <w:szCs w:val="24"/>
        </w:rPr>
        <w:t>Currently, the ERO has no</w:t>
      </w:r>
      <w:r>
        <w:rPr>
          <w:rFonts w:ascii="Times New Roman" w:hAnsi="Times New Roman" w:cs="Times New Roman"/>
          <w:sz w:val="24"/>
          <w:szCs w:val="24"/>
        </w:rPr>
        <w:t xml:space="preserve"> specifications for calculating </w:t>
      </w:r>
      <w:r w:rsidRPr="00530C61">
        <w:rPr>
          <w:rFonts w:ascii="Times New Roman" w:hAnsi="Times New Roman" w:cs="Times New Roman"/>
          <w:sz w:val="24"/>
          <w:szCs w:val="24"/>
        </w:rPr>
        <w:t>non-firm ATC. We find that the same potential for dis</w:t>
      </w:r>
      <w:r>
        <w:rPr>
          <w:rFonts w:ascii="Times New Roman" w:hAnsi="Times New Roman" w:cs="Times New Roman"/>
          <w:sz w:val="24"/>
          <w:szCs w:val="24"/>
        </w:rPr>
        <w:t xml:space="preserve">crimination exists for non-firm </w:t>
      </w:r>
      <w:r w:rsidRPr="00530C61">
        <w:rPr>
          <w:rFonts w:ascii="Times New Roman" w:hAnsi="Times New Roman" w:cs="Times New Roman"/>
          <w:sz w:val="24"/>
          <w:szCs w:val="24"/>
        </w:rPr>
        <w:t>transmission service as for firm service, and greater unifo</w:t>
      </w:r>
      <w:r>
        <w:rPr>
          <w:rFonts w:ascii="Times New Roman" w:hAnsi="Times New Roman" w:cs="Times New Roman"/>
          <w:sz w:val="24"/>
          <w:szCs w:val="24"/>
        </w:rPr>
        <w:t xml:space="preserve">rmity in both firm and non-firm </w:t>
      </w:r>
      <w:r w:rsidRPr="00530C61">
        <w:rPr>
          <w:rFonts w:ascii="Times New Roman" w:hAnsi="Times New Roman" w:cs="Times New Roman"/>
          <w:sz w:val="24"/>
          <w:szCs w:val="24"/>
        </w:rPr>
        <w:t>ATC calculations will substantially reduce th</w:t>
      </w:r>
      <w:r>
        <w:rPr>
          <w:rFonts w:ascii="Times New Roman" w:hAnsi="Times New Roman" w:cs="Times New Roman"/>
          <w:sz w:val="24"/>
          <w:szCs w:val="24"/>
        </w:rPr>
        <w:t xml:space="preserve">e remaining potential for undue </w:t>
      </w:r>
      <w:r w:rsidRPr="00530C61">
        <w:rPr>
          <w:rFonts w:ascii="Times New Roman" w:hAnsi="Times New Roman" w:cs="Times New Roman"/>
          <w:sz w:val="24"/>
          <w:szCs w:val="24"/>
        </w:rPr>
        <w:t>discrimination. Therefore, we direct the ERO to modif</w:t>
      </w:r>
      <w:r>
        <w:rPr>
          <w:rFonts w:ascii="Times New Roman" w:hAnsi="Times New Roman" w:cs="Times New Roman"/>
          <w:sz w:val="24"/>
          <w:szCs w:val="24"/>
        </w:rPr>
        <w:t xml:space="preserve">y Reliability Standard MOD-001- </w:t>
      </w:r>
      <w:r w:rsidRPr="00530C61">
        <w:rPr>
          <w:rFonts w:ascii="Times New Roman" w:hAnsi="Times New Roman" w:cs="Times New Roman"/>
          <w:sz w:val="24"/>
          <w:szCs w:val="24"/>
        </w:rPr>
        <w:t>0 to require disclosure of the algorithms and processes us</w:t>
      </w:r>
      <w:r>
        <w:rPr>
          <w:rFonts w:ascii="Times New Roman" w:hAnsi="Times New Roman" w:cs="Times New Roman"/>
          <w:sz w:val="24"/>
          <w:szCs w:val="24"/>
        </w:rPr>
        <w:t xml:space="preserve">ed in ATC calculation, and also </w:t>
      </w:r>
      <w:r w:rsidRPr="00530C61">
        <w:rPr>
          <w:rFonts w:ascii="Times New Roman" w:hAnsi="Times New Roman" w:cs="Times New Roman"/>
          <w:sz w:val="24"/>
          <w:szCs w:val="24"/>
        </w:rPr>
        <w:t>to implement the following principles for firm and non</w:t>
      </w:r>
      <w:r>
        <w:rPr>
          <w:rFonts w:ascii="Times New Roman" w:hAnsi="Times New Roman" w:cs="Times New Roman"/>
          <w:sz w:val="24"/>
          <w:szCs w:val="24"/>
        </w:rPr>
        <w:t xml:space="preserve">-firm ATC calculations: (1) for </w:t>
      </w:r>
      <w:r w:rsidRPr="00530C61">
        <w:rPr>
          <w:rFonts w:ascii="Times New Roman" w:hAnsi="Times New Roman" w:cs="Times New Roman"/>
          <w:sz w:val="24"/>
          <w:szCs w:val="24"/>
        </w:rPr>
        <w:t>firm ATC calculations, the transmission provi</w:t>
      </w:r>
      <w:r>
        <w:rPr>
          <w:rFonts w:ascii="Times New Roman" w:hAnsi="Times New Roman" w:cs="Times New Roman"/>
          <w:sz w:val="24"/>
          <w:szCs w:val="24"/>
        </w:rPr>
        <w:t xml:space="preserve">der shall account only for firm </w:t>
      </w:r>
      <w:r w:rsidRPr="00530C61">
        <w:rPr>
          <w:rFonts w:ascii="Times New Roman" w:hAnsi="Times New Roman" w:cs="Times New Roman"/>
          <w:sz w:val="24"/>
          <w:szCs w:val="24"/>
        </w:rPr>
        <w:t>commitments and (2) for non-firm ATC calculations, the tran</w:t>
      </w:r>
      <w:r>
        <w:rPr>
          <w:rFonts w:ascii="Times New Roman" w:hAnsi="Times New Roman" w:cs="Times New Roman"/>
          <w:sz w:val="24"/>
          <w:szCs w:val="24"/>
        </w:rPr>
        <w:t xml:space="preserve">smission provider shall </w:t>
      </w:r>
      <w:r w:rsidRPr="00530C61">
        <w:rPr>
          <w:rFonts w:ascii="Times New Roman" w:hAnsi="Times New Roman" w:cs="Times New Roman"/>
          <w:sz w:val="24"/>
          <w:szCs w:val="24"/>
        </w:rPr>
        <w:t>account for both firm and non-firm commitments, postbacks of redirected service,</w:t>
      </w:r>
      <w:r>
        <w:rPr>
          <w:rFonts w:ascii="Times New Roman" w:hAnsi="Times New Roman" w:cs="Times New Roman"/>
          <w:sz w:val="24"/>
          <w:szCs w:val="24"/>
        </w:rPr>
        <w:t xml:space="preserve"> </w:t>
      </w:r>
      <w:r w:rsidRPr="00530C61">
        <w:rPr>
          <w:rFonts w:ascii="Times New Roman" w:hAnsi="Times New Roman" w:cs="Times New Roman"/>
          <w:sz w:val="24"/>
          <w:szCs w:val="24"/>
        </w:rPr>
        <w:t>unscheduled service and counterflows.</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1038. The Commission adopts the NOPR proposal an</w:t>
      </w:r>
      <w:r>
        <w:rPr>
          <w:rFonts w:ascii="Times New Roman" w:hAnsi="Times New Roman" w:cs="Times New Roman"/>
          <w:sz w:val="24"/>
          <w:szCs w:val="24"/>
        </w:rPr>
        <w:t xml:space="preserve">d reiterates the requirement in </w:t>
      </w:r>
      <w:r w:rsidRPr="00530C61">
        <w:rPr>
          <w:rFonts w:ascii="Times New Roman" w:hAnsi="Times New Roman" w:cs="Times New Roman"/>
          <w:sz w:val="24"/>
          <w:szCs w:val="24"/>
        </w:rPr>
        <w:t>Order No. 890 that the ERO must revise the MOD Reliability Standards to require the</w:t>
      </w:r>
      <w:r>
        <w:rPr>
          <w:rFonts w:ascii="Times New Roman" w:hAnsi="Times New Roman" w:cs="Times New Roman"/>
          <w:sz w:val="24"/>
          <w:szCs w:val="24"/>
        </w:rPr>
        <w:t xml:space="preserve"> </w:t>
      </w:r>
      <w:r w:rsidRPr="00530C61">
        <w:rPr>
          <w:rFonts w:ascii="Times New Roman" w:hAnsi="Times New Roman" w:cs="Times New Roman"/>
          <w:sz w:val="24"/>
          <w:szCs w:val="24"/>
        </w:rPr>
        <w:t xml:space="preserve">exchange of data and coordination among transmission </w:t>
      </w:r>
      <w:r>
        <w:rPr>
          <w:rFonts w:ascii="Times New Roman" w:hAnsi="Times New Roman" w:cs="Times New Roman"/>
          <w:sz w:val="24"/>
          <w:szCs w:val="24"/>
        </w:rPr>
        <w:t xml:space="preserve">providers. We direct the ERO to </w:t>
      </w:r>
      <w:r w:rsidRPr="00530C61">
        <w:rPr>
          <w:rFonts w:ascii="Times New Roman" w:hAnsi="Times New Roman" w:cs="Times New Roman"/>
          <w:sz w:val="24"/>
          <w:szCs w:val="24"/>
        </w:rPr>
        <w:t>modify MOD-001-0 to ensure that the following d</w:t>
      </w:r>
      <w:r>
        <w:rPr>
          <w:rFonts w:ascii="Times New Roman" w:hAnsi="Times New Roman" w:cs="Times New Roman"/>
          <w:sz w:val="24"/>
          <w:szCs w:val="24"/>
        </w:rPr>
        <w:t xml:space="preserve">ata, at a minimum, be exchanged </w:t>
      </w:r>
      <w:r w:rsidRPr="00530C61">
        <w:rPr>
          <w:rFonts w:ascii="Times New Roman" w:hAnsi="Times New Roman" w:cs="Times New Roman"/>
          <w:sz w:val="24"/>
          <w:szCs w:val="24"/>
        </w:rPr>
        <w:t>among transmission providers for the purposes of ATC</w:t>
      </w:r>
      <w:r>
        <w:rPr>
          <w:rFonts w:ascii="Times New Roman" w:hAnsi="Times New Roman" w:cs="Times New Roman"/>
          <w:sz w:val="24"/>
          <w:szCs w:val="24"/>
        </w:rPr>
        <w:t xml:space="preserve"> modeling: (1) load levels; (2) </w:t>
      </w:r>
      <w:r w:rsidRPr="00530C61">
        <w:rPr>
          <w:rFonts w:ascii="Times New Roman" w:hAnsi="Times New Roman" w:cs="Times New Roman"/>
          <w:sz w:val="24"/>
          <w:szCs w:val="24"/>
        </w:rPr>
        <w:t>transmission planned and contingency outages; (3) gen</w:t>
      </w:r>
      <w:r>
        <w:rPr>
          <w:rFonts w:ascii="Times New Roman" w:hAnsi="Times New Roman" w:cs="Times New Roman"/>
          <w:sz w:val="24"/>
          <w:szCs w:val="24"/>
        </w:rPr>
        <w:t xml:space="preserve">eration planned and contingency </w:t>
      </w:r>
      <w:r w:rsidRPr="00530C61">
        <w:rPr>
          <w:rFonts w:ascii="Times New Roman" w:hAnsi="Times New Roman" w:cs="Times New Roman"/>
          <w:sz w:val="24"/>
          <w:szCs w:val="24"/>
        </w:rPr>
        <w:t>outages; (4) base generation dispatch; (5) existing trans</w:t>
      </w:r>
      <w:r>
        <w:rPr>
          <w:rFonts w:ascii="Times New Roman" w:hAnsi="Times New Roman" w:cs="Times New Roman"/>
          <w:sz w:val="24"/>
          <w:szCs w:val="24"/>
        </w:rPr>
        <w:t xml:space="preserve">mission reservations, including </w:t>
      </w:r>
      <w:r w:rsidRPr="00530C61">
        <w:rPr>
          <w:rFonts w:ascii="Times New Roman" w:hAnsi="Times New Roman" w:cs="Times New Roman"/>
          <w:sz w:val="24"/>
          <w:szCs w:val="24"/>
        </w:rPr>
        <w:t>counterflows; (6) ATC recalculation frequency and tim</w:t>
      </w:r>
      <w:r>
        <w:rPr>
          <w:rFonts w:ascii="Times New Roman" w:hAnsi="Times New Roman" w:cs="Times New Roman"/>
          <w:sz w:val="24"/>
          <w:szCs w:val="24"/>
        </w:rPr>
        <w:t xml:space="preserve">es and (7) source/sink modeling </w:t>
      </w:r>
      <w:r w:rsidRPr="00530C61">
        <w:rPr>
          <w:rFonts w:ascii="Times New Roman" w:hAnsi="Times New Roman" w:cs="Times New Roman"/>
          <w:sz w:val="24"/>
          <w:szCs w:val="24"/>
        </w:rPr>
        <w:t>identification.</w:t>
      </w:r>
      <w:r w:rsidRPr="00530C61">
        <w:rPr>
          <w:rFonts w:ascii="Times New Roman" w:hAnsi="Times New Roman" w:cs="Times New Roman"/>
          <w:b/>
          <w:bCs/>
          <w:sz w:val="24"/>
          <w:szCs w:val="24"/>
        </w:rPr>
        <w:t xml:space="preserve">334 </w:t>
      </w:r>
      <w:r w:rsidRPr="00530C61">
        <w:rPr>
          <w:rFonts w:ascii="Times New Roman" w:hAnsi="Times New Roman" w:cs="Times New Roman"/>
          <w:sz w:val="24"/>
          <w:szCs w:val="24"/>
        </w:rPr>
        <w:t>The Commission concludes that the exc</w:t>
      </w:r>
      <w:r>
        <w:rPr>
          <w:rFonts w:ascii="Times New Roman" w:hAnsi="Times New Roman" w:cs="Times New Roman"/>
          <w:sz w:val="24"/>
          <w:szCs w:val="24"/>
        </w:rPr>
        <w:t xml:space="preserve">hange of such data is necessary </w:t>
      </w:r>
      <w:r w:rsidRPr="00530C61">
        <w:rPr>
          <w:rFonts w:ascii="Times New Roman" w:hAnsi="Times New Roman" w:cs="Times New Roman"/>
          <w:sz w:val="24"/>
          <w:szCs w:val="24"/>
        </w:rPr>
        <w:t>to support the reforms requiring consistency in the deter</w:t>
      </w:r>
      <w:r>
        <w:rPr>
          <w:rFonts w:ascii="Times New Roman" w:hAnsi="Times New Roman" w:cs="Times New Roman"/>
          <w:sz w:val="24"/>
          <w:szCs w:val="24"/>
        </w:rPr>
        <w:t xml:space="preserve">mination of ATC adopted in this </w:t>
      </w:r>
      <w:r w:rsidRPr="00530C61">
        <w:rPr>
          <w:rFonts w:ascii="Times New Roman" w:hAnsi="Times New Roman" w:cs="Times New Roman"/>
          <w:sz w:val="24"/>
          <w:szCs w:val="24"/>
        </w:rPr>
        <w:t>Final Rule. As explained above, transmission providers</w:t>
      </w:r>
      <w:r>
        <w:rPr>
          <w:rFonts w:ascii="Times New Roman" w:hAnsi="Times New Roman" w:cs="Times New Roman"/>
          <w:sz w:val="24"/>
          <w:szCs w:val="24"/>
        </w:rPr>
        <w:t xml:space="preserve"> are required to coordinate the </w:t>
      </w:r>
      <w:r w:rsidRPr="00530C61">
        <w:rPr>
          <w:rFonts w:ascii="Times New Roman" w:hAnsi="Times New Roman" w:cs="Times New Roman"/>
          <w:sz w:val="24"/>
          <w:szCs w:val="24"/>
        </w:rPr>
        <w:t>calculation of TTC/TFC and ATC/AFC with others, and this requires a standard means of</w:t>
      </w:r>
      <w:r>
        <w:rPr>
          <w:rFonts w:ascii="Times New Roman" w:hAnsi="Times New Roman" w:cs="Times New Roman"/>
          <w:sz w:val="24"/>
          <w:szCs w:val="24"/>
        </w:rPr>
        <w:t xml:space="preserve"> </w:t>
      </w:r>
      <w:r w:rsidRPr="00530C61">
        <w:rPr>
          <w:rFonts w:ascii="Times New Roman" w:hAnsi="Times New Roman" w:cs="Times New Roman"/>
          <w:sz w:val="24"/>
          <w:szCs w:val="24"/>
        </w:rPr>
        <w:t>exchanging data.</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1040. We clarify that we require consistent use of assumptions underlying operational</w:t>
      </w:r>
      <w:r>
        <w:rPr>
          <w:rFonts w:ascii="Times New Roman" w:hAnsi="Times New Roman" w:cs="Times New Roman"/>
          <w:sz w:val="24"/>
          <w:szCs w:val="24"/>
        </w:rPr>
        <w:t xml:space="preserve"> </w:t>
      </w:r>
      <w:r w:rsidRPr="00530C61">
        <w:rPr>
          <w:rFonts w:ascii="Times New Roman" w:hAnsi="Times New Roman" w:cs="Times New Roman"/>
          <w:sz w:val="24"/>
          <w:szCs w:val="24"/>
        </w:rPr>
        <w:t>planning for short-term ATC and expansion planning for long-term ATC calculation. We</w:t>
      </w:r>
      <w:r>
        <w:rPr>
          <w:rFonts w:ascii="Times New Roman" w:hAnsi="Times New Roman" w:cs="Times New Roman"/>
          <w:sz w:val="24"/>
          <w:szCs w:val="24"/>
        </w:rPr>
        <w:t xml:space="preserve"> </w:t>
      </w:r>
      <w:r w:rsidRPr="00530C61">
        <w:rPr>
          <w:rFonts w:ascii="Times New Roman" w:hAnsi="Times New Roman" w:cs="Times New Roman"/>
          <w:sz w:val="24"/>
          <w:szCs w:val="24"/>
        </w:rPr>
        <w:t xml:space="preserve">also clarify that there must be a consistent basis for </w:t>
      </w:r>
      <w:r>
        <w:rPr>
          <w:rFonts w:ascii="Times New Roman" w:hAnsi="Times New Roman" w:cs="Times New Roman"/>
          <w:sz w:val="24"/>
          <w:szCs w:val="24"/>
        </w:rPr>
        <w:t xml:space="preserve">or approach to determining load </w:t>
      </w:r>
      <w:r w:rsidRPr="00530C61">
        <w:rPr>
          <w:rFonts w:ascii="Times New Roman" w:hAnsi="Times New Roman" w:cs="Times New Roman"/>
          <w:sz w:val="24"/>
          <w:szCs w:val="24"/>
        </w:rPr>
        <w:t>levels in each of these sets of calculations. For e</w:t>
      </w:r>
      <w:r>
        <w:rPr>
          <w:rFonts w:ascii="Times New Roman" w:hAnsi="Times New Roman" w:cs="Times New Roman"/>
          <w:sz w:val="24"/>
          <w:szCs w:val="24"/>
        </w:rPr>
        <w:t xml:space="preserve">xample, one approach may be for </w:t>
      </w:r>
      <w:r w:rsidRPr="00530C61">
        <w:rPr>
          <w:rFonts w:ascii="Times New Roman" w:hAnsi="Times New Roman" w:cs="Times New Roman"/>
          <w:sz w:val="24"/>
          <w:szCs w:val="24"/>
        </w:rPr>
        <w:t xml:space="preserve">transmission providers to calculate load levels using an </w:t>
      </w:r>
      <w:r>
        <w:rPr>
          <w:rFonts w:ascii="Times New Roman" w:hAnsi="Times New Roman" w:cs="Times New Roman"/>
          <w:sz w:val="24"/>
          <w:szCs w:val="24"/>
        </w:rPr>
        <w:t xml:space="preserve">on- and off-peak model for each </w:t>
      </w:r>
      <w:r w:rsidRPr="00530C61">
        <w:rPr>
          <w:rFonts w:ascii="Times New Roman" w:hAnsi="Times New Roman" w:cs="Times New Roman"/>
          <w:sz w:val="24"/>
          <w:szCs w:val="24"/>
        </w:rPr>
        <w:t>month when evaluating yearly service requests and c</w:t>
      </w:r>
      <w:r>
        <w:rPr>
          <w:rFonts w:ascii="Times New Roman" w:hAnsi="Times New Roman" w:cs="Times New Roman"/>
          <w:sz w:val="24"/>
          <w:szCs w:val="24"/>
        </w:rPr>
        <w:t xml:space="preserve">alculating yearly ATC. The same </w:t>
      </w:r>
      <w:r w:rsidRPr="00530C61">
        <w:rPr>
          <w:rFonts w:ascii="Times New Roman" w:hAnsi="Times New Roman" w:cs="Times New Roman"/>
          <w:sz w:val="24"/>
          <w:szCs w:val="24"/>
        </w:rPr>
        <w:t>(peak- and off-peak) or alternative approaches may be used for monthly, weekly, daily</w:t>
      </w:r>
      <w:r>
        <w:rPr>
          <w:rFonts w:ascii="Times New Roman" w:hAnsi="Times New Roman" w:cs="Times New Roman"/>
          <w:sz w:val="24"/>
          <w:szCs w:val="24"/>
        </w:rPr>
        <w:t xml:space="preserve"> </w:t>
      </w:r>
      <w:r w:rsidRPr="00530C61">
        <w:rPr>
          <w:rFonts w:ascii="Times New Roman" w:hAnsi="Times New Roman" w:cs="Times New Roman"/>
          <w:sz w:val="24"/>
          <w:szCs w:val="24"/>
        </w:rPr>
        <w:t>and hourly ATC calculations. Regardless of the ultimate ch</w:t>
      </w:r>
      <w:r>
        <w:rPr>
          <w:rFonts w:ascii="Times New Roman" w:hAnsi="Times New Roman" w:cs="Times New Roman"/>
          <w:sz w:val="24"/>
          <w:szCs w:val="24"/>
        </w:rPr>
        <w:t xml:space="preserve">oice, it is imperative that all </w:t>
      </w:r>
      <w:r w:rsidRPr="00530C61">
        <w:rPr>
          <w:rFonts w:ascii="Times New Roman" w:hAnsi="Times New Roman" w:cs="Times New Roman"/>
          <w:sz w:val="24"/>
          <w:szCs w:val="24"/>
        </w:rPr>
        <w:t>transmission providers use the same approach to modeling</w:t>
      </w:r>
      <w:r>
        <w:rPr>
          <w:rFonts w:ascii="Times New Roman" w:hAnsi="Times New Roman" w:cs="Times New Roman"/>
          <w:sz w:val="24"/>
          <w:szCs w:val="24"/>
        </w:rPr>
        <w:t xml:space="preserve"> load levels to eliminate undue </w:t>
      </w:r>
      <w:r w:rsidRPr="00530C61">
        <w:rPr>
          <w:rFonts w:ascii="Times New Roman" w:hAnsi="Times New Roman" w:cs="Times New Roman"/>
          <w:sz w:val="24"/>
          <w:szCs w:val="24"/>
        </w:rPr>
        <w:t>discrimination and enable the meaningful exch</w:t>
      </w:r>
      <w:r>
        <w:rPr>
          <w:rFonts w:ascii="Times New Roman" w:hAnsi="Times New Roman" w:cs="Times New Roman"/>
          <w:sz w:val="24"/>
          <w:szCs w:val="24"/>
        </w:rPr>
        <w:t xml:space="preserve">ange of data among transmission </w:t>
      </w:r>
      <w:r w:rsidRPr="00530C61">
        <w:rPr>
          <w:rFonts w:ascii="Times New Roman" w:hAnsi="Times New Roman" w:cs="Times New Roman"/>
          <w:sz w:val="24"/>
          <w:szCs w:val="24"/>
        </w:rPr>
        <w:t>providers. Accordingly, we direct the ERO to deve</w:t>
      </w:r>
      <w:r>
        <w:rPr>
          <w:rFonts w:ascii="Times New Roman" w:hAnsi="Times New Roman" w:cs="Times New Roman"/>
          <w:sz w:val="24"/>
          <w:szCs w:val="24"/>
        </w:rPr>
        <w:t xml:space="preserve">lop consistent requirements for </w:t>
      </w:r>
      <w:r w:rsidRPr="00530C61">
        <w:rPr>
          <w:rFonts w:ascii="Times New Roman" w:hAnsi="Times New Roman" w:cs="Times New Roman"/>
          <w:sz w:val="24"/>
          <w:szCs w:val="24"/>
        </w:rPr>
        <w:t>modeling load levels in MOD-001-0.</w:t>
      </w:r>
    </w:p>
    <w:p w:rsidR="00AB77A0" w:rsidRDefault="00AB77A0" w:rsidP="00AB77A0">
      <w:pPr>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1041. With respect to modeling of generation dispatch, we direct the ERO to develop</w:t>
      </w:r>
      <w:r>
        <w:rPr>
          <w:rFonts w:ascii="Times New Roman" w:hAnsi="Times New Roman" w:cs="Times New Roman"/>
          <w:sz w:val="24"/>
          <w:szCs w:val="24"/>
        </w:rPr>
        <w:t xml:space="preserve"> </w:t>
      </w:r>
      <w:r w:rsidRPr="00530C61">
        <w:rPr>
          <w:rFonts w:ascii="Times New Roman" w:hAnsi="Times New Roman" w:cs="Times New Roman"/>
          <w:sz w:val="24"/>
          <w:szCs w:val="24"/>
        </w:rPr>
        <w:t>requirements in MOD-001-0 specifying how transmission providers shou</w:t>
      </w:r>
      <w:r>
        <w:rPr>
          <w:rFonts w:ascii="Times New Roman" w:hAnsi="Times New Roman" w:cs="Times New Roman"/>
          <w:sz w:val="24"/>
          <w:szCs w:val="24"/>
        </w:rPr>
        <w:t xml:space="preserve">ld determine </w:t>
      </w:r>
      <w:r w:rsidRPr="00530C61">
        <w:rPr>
          <w:rFonts w:ascii="Times New Roman" w:hAnsi="Times New Roman" w:cs="Times New Roman"/>
          <w:sz w:val="24"/>
          <w:szCs w:val="24"/>
        </w:rPr>
        <w:t>which generators should be modeled in service, includ</w:t>
      </w:r>
      <w:r>
        <w:rPr>
          <w:rFonts w:ascii="Times New Roman" w:hAnsi="Times New Roman" w:cs="Times New Roman"/>
          <w:sz w:val="24"/>
          <w:szCs w:val="24"/>
        </w:rPr>
        <w:t xml:space="preserve">ing guidance on how independent </w:t>
      </w:r>
      <w:r w:rsidRPr="00530C61">
        <w:rPr>
          <w:rFonts w:ascii="Times New Roman" w:hAnsi="Times New Roman" w:cs="Times New Roman"/>
          <w:sz w:val="24"/>
          <w:szCs w:val="24"/>
        </w:rPr>
        <w:t>generation should be considered. Accordingly, we direc</w:t>
      </w:r>
      <w:r>
        <w:rPr>
          <w:rFonts w:ascii="Times New Roman" w:hAnsi="Times New Roman" w:cs="Times New Roman"/>
          <w:sz w:val="24"/>
          <w:szCs w:val="24"/>
        </w:rPr>
        <w:t xml:space="preserve">t the ERO to revise Reliability </w:t>
      </w:r>
      <w:r w:rsidRPr="00530C61">
        <w:rPr>
          <w:rFonts w:ascii="Times New Roman" w:hAnsi="Times New Roman" w:cs="Times New Roman"/>
          <w:sz w:val="24"/>
          <w:szCs w:val="24"/>
        </w:rPr>
        <w:t>Standard MOD-001-0 by specifying that base generation dispatch will mode</w:t>
      </w:r>
      <w:r>
        <w:rPr>
          <w:rFonts w:ascii="Times New Roman" w:hAnsi="Times New Roman" w:cs="Times New Roman"/>
          <w:sz w:val="24"/>
          <w:szCs w:val="24"/>
        </w:rPr>
        <w:t xml:space="preserve">l: (1) all </w:t>
      </w:r>
      <w:r w:rsidRPr="00530C61">
        <w:rPr>
          <w:rFonts w:ascii="Times New Roman" w:hAnsi="Times New Roman" w:cs="Times New Roman"/>
          <w:sz w:val="24"/>
          <w:szCs w:val="24"/>
        </w:rPr>
        <w:t>designated network resources and other resources that are</w:t>
      </w:r>
      <w:r>
        <w:rPr>
          <w:rFonts w:ascii="Times New Roman" w:hAnsi="Times New Roman" w:cs="Times New Roman"/>
          <w:sz w:val="24"/>
          <w:szCs w:val="24"/>
        </w:rPr>
        <w:t xml:space="preserve"> committed to or have the legal </w:t>
      </w:r>
      <w:r w:rsidRPr="00530C61">
        <w:rPr>
          <w:rFonts w:ascii="Times New Roman" w:hAnsi="Times New Roman" w:cs="Times New Roman"/>
          <w:sz w:val="24"/>
          <w:szCs w:val="24"/>
        </w:rPr>
        <w:t>obligation to run, as they are expected to run and (2) all</w:t>
      </w:r>
      <w:r>
        <w:rPr>
          <w:rFonts w:ascii="Times New Roman" w:hAnsi="Times New Roman" w:cs="Times New Roman"/>
          <w:sz w:val="24"/>
          <w:szCs w:val="24"/>
        </w:rPr>
        <w:t xml:space="preserve"> uncommitted resources that are </w:t>
      </w:r>
      <w:r w:rsidRPr="00530C61">
        <w:rPr>
          <w:rFonts w:ascii="Times New Roman" w:hAnsi="Times New Roman" w:cs="Times New Roman"/>
          <w:sz w:val="24"/>
          <w:szCs w:val="24"/>
        </w:rPr>
        <w:t>deliverable within the control area, economically dispatched as necessary to meet</w:t>
      </w:r>
      <w:r>
        <w:rPr>
          <w:rFonts w:ascii="Times New Roman" w:hAnsi="Times New Roman" w:cs="Times New Roman"/>
          <w:sz w:val="24"/>
          <w:szCs w:val="24"/>
        </w:rPr>
        <w:t xml:space="preserve"> </w:t>
      </w:r>
      <w:r w:rsidRPr="00530C61">
        <w:rPr>
          <w:rFonts w:ascii="Times New Roman" w:hAnsi="Times New Roman" w:cs="Times New Roman"/>
          <w:sz w:val="24"/>
          <w:szCs w:val="24"/>
        </w:rPr>
        <w:t>balancing requirements.</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1042. Regarding transmission reservations modelin</w:t>
      </w:r>
      <w:r>
        <w:rPr>
          <w:rFonts w:ascii="Times New Roman" w:hAnsi="Times New Roman" w:cs="Times New Roman"/>
          <w:sz w:val="24"/>
          <w:szCs w:val="24"/>
        </w:rPr>
        <w:t xml:space="preserve">g, we direct the ERO to develop </w:t>
      </w:r>
      <w:r w:rsidRPr="00530C61">
        <w:rPr>
          <w:rFonts w:ascii="Times New Roman" w:hAnsi="Times New Roman" w:cs="Times New Roman"/>
          <w:sz w:val="24"/>
          <w:szCs w:val="24"/>
        </w:rPr>
        <w:t>requirements in Reliability Standard MOD-001-0 that spe</w:t>
      </w:r>
      <w:r>
        <w:rPr>
          <w:rFonts w:ascii="Times New Roman" w:hAnsi="Times New Roman" w:cs="Times New Roman"/>
          <w:sz w:val="24"/>
          <w:szCs w:val="24"/>
        </w:rPr>
        <w:t xml:space="preserve">cify: (1) a consistent approach </w:t>
      </w:r>
      <w:r w:rsidRPr="00530C61">
        <w:rPr>
          <w:rFonts w:ascii="Times New Roman" w:hAnsi="Times New Roman" w:cs="Times New Roman"/>
          <w:sz w:val="24"/>
          <w:szCs w:val="24"/>
        </w:rPr>
        <w:t xml:space="preserve">on how to simulate reservations from points of receipt to </w:t>
      </w:r>
      <w:r>
        <w:rPr>
          <w:rFonts w:ascii="Times New Roman" w:hAnsi="Times New Roman" w:cs="Times New Roman"/>
          <w:sz w:val="24"/>
          <w:szCs w:val="24"/>
        </w:rPr>
        <w:t xml:space="preserve">points of delivery when sources </w:t>
      </w:r>
      <w:r w:rsidRPr="00530C61">
        <w:rPr>
          <w:rFonts w:ascii="Times New Roman" w:hAnsi="Times New Roman" w:cs="Times New Roman"/>
          <w:sz w:val="24"/>
          <w:szCs w:val="24"/>
        </w:rPr>
        <w:t>and sinks are unknown and (2) how to model existing reservations.</w:t>
      </w:r>
    </w:p>
    <w:p w:rsidR="00AB77A0" w:rsidRDefault="00AB77A0" w:rsidP="00AB77A0">
      <w:pPr>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1043. Consistent with Order No. 890, the Commission directs the ERO to modify</w:t>
      </w:r>
      <w:r>
        <w:rPr>
          <w:rFonts w:ascii="Times New Roman" w:hAnsi="Times New Roman" w:cs="Times New Roman"/>
          <w:sz w:val="24"/>
          <w:szCs w:val="24"/>
        </w:rPr>
        <w:t xml:space="preserve"> </w:t>
      </w:r>
      <w:r w:rsidRPr="00530C61">
        <w:rPr>
          <w:rFonts w:ascii="Times New Roman" w:hAnsi="Times New Roman" w:cs="Times New Roman"/>
          <w:sz w:val="24"/>
          <w:szCs w:val="24"/>
        </w:rPr>
        <w:t>Reliability Standard MOD-001-0 to require ATC to</w:t>
      </w:r>
      <w:r>
        <w:rPr>
          <w:rFonts w:ascii="Times New Roman" w:hAnsi="Times New Roman" w:cs="Times New Roman"/>
          <w:sz w:val="24"/>
          <w:szCs w:val="24"/>
        </w:rPr>
        <w:t xml:space="preserve"> be updated by all transmission </w:t>
      </w:r>
      <w:r w:rsidRPr="00530C61">
        <w:rPr>
          <w:rFonts w:ascii="Times New Roman" w:hAnsi="Times New Roman" w:cs="Times New Roman"/>
          <w:sz w:val="24"/>
          <w:szCs w:val="24"/>
        </w:rPr>
        <w:t>providers on a consisten</w:t>
      </w:r>
      <w:r>
        <w:rPr>
          <w:rFonts w:ascii="Times New Roman" w:hAnsi="Times New Roman" w:cs="Times New Roman"/>
          <w:sz w:val="24"/>
          <w:szCs w:val="24"/>
        </w:rPr>
        <w:t xml:space="preserve">t time interval and in a manner </w:t>
      </w:r>
      <w:r w:rsidRPr="00530C61">
        <w:rPr>
          <w:rFonts w:ascii="Times New Roman" w:hAnsi="Times New Roman" w:cs="Times New Roman"/>
          <w:sz w:val="24"/>
          <w:szCs w:val="24"/>
        </w:rPr>
        <w:t>that closely reflects the actual</w:t>
      </w:r>
      <w:r>
        <w:rPr>
          <w:rFonts w:ascii="Times New Roman" w:hAnsi="Times New Roman" w:cs="Times New Roman"/>
          <w:sz w:val="24"/>
          <w:szCs w:val="24"/>
        </w:rPr>
        <w:t xml:space="preserve"> </w:t>
      </w:r>
      <w:r w:rsidRPr="00530C61">
        <w:rPr>
          <w:rFonts w:ascii="Times New Roman" w:hAnsi="Times New Roman" w:cs="Times New Roman"/>
          <w:sz w:val="24"/>
          <w:szCs w:val="24"/>
        </w:rPr>
        <w:t>topology of the system, e.g., generation and transmission outages, load forecasts,</w:t>
      </w:r>
      <w:r>
        <w:rPr>
          <w:rFonts w:ascii="Times New Roman" w:hAnsi="Times New Roman" w:cs="Times New Roman"/>
          <w:sz w:val="24"/>
          <w:szCs w:val="24"/>
        </w:rPr>
        <w:t xml:space="preserve"> </w:t>
      </w:r>
      <w:r w:rsidRPr="00530C61">
        <w:rPr>
          <w:rFonts w:ascii="Times New Roman" w:hAnsi="Times New Roman" w:cs="Times New Roman"/>
          <w:sz w:val="24"/>
          <w:szCs w:val="24"/>
        </w:rPr>
        <w:t>interchange schedules, transmission reservations, facility ratings and other necessary</w:t>
      </w:r>
      <w:r>
        <w:rPr>
          <w:rFonts w:ascii="Times New Roman" w:hAnsi="Times New Roman" w:cs="Times New Roman"/>
          <w:sz w:val="24"/>
          <w:szCs w:val="24"/>
        </w:rPr>
        <w:t xml:space="preserve"> </w:t>
      </w:r>
      <w:r w:rsidRPr="00530C61">
        <w:rPr>
          <w:rFonts w:ascii="Times New Roman" w:hAnsi="Times New Roman" w:cs="Times New Roman"/>
          <w:sz w:val="24"/>
          <w:szCs w:val="24"/>
        </w:rPr>
        <w:t>data. This process must also consider whether ATC shoul</w:t>
      </w:r>
      <w:r>
        <w:rPr>
          <w:rFonts w:ascii="Times New Roman" w:hAnsi="Times New Roman" w:cs="Times New Roman"/>
          <w:sz w:val="24"/>
          <w:szCs w:val="24"/>
        </w:rPr>
        <w:t xml:space="preserve">d be calculated more frequently </w:t>
      </w:r>
      <w:r w:rsidRPr="00530C61">
        <w:rPr>
          <w:rFonts w:ascii="Times New Roman" w:hAnsi="Times New Roman" w:cs="Times New Roman"/>
          <w:sz w:val="24"/>
          <w:szCs w:val="24"/>
        </w:rPr>
        <w:t>for constrained facilities.</w:t>
      </w:r>
    </w:p>
    <w:p w:rsidR="00AB77A0" w:rsidRDefault="00AB77A0" w:rsidP="00AB77A0">
      <w:pPr>
        <w:rPr>
          <w:rFonts w:ascii="Times New Roman" w:hAnsi="Times New Roman" w:cs="Times New Roman"/>
          <w:sz w:val="24"/>
          <w:szCs w:val="24"/>
        </w:rPr>
      </w:pPr>
    </w:p>
    <w:p w:rsidR="00AB77A0" w:rsidRPr="00530C61" w:rsidRDefault="00AB77A0" w:rsidP="00AB77A0">
      <w:pPr>
        <w:rPr>
          <w:rFonts w:ascii="Times New Roman" w:hAnsi="Times New Roman" w:cs="Times New Roman"/>
          <w:sz w:val="24"/>
          <w:szCs w:val="24"/>
        </w:rPr>
      </w:pPr>
      <w:r w:rsidRPr="00530C61">
        <w:rPr>
          <w:rFonts w:ascii="Times New Roman" w:hAnsi="Times New Roman" w:cs="Times New Roman"/>
          <w:sz w:val="24"/>
          <w:szCs w:val="24"/>
        </w:rPr>
        <w:t>1044. In conclusion, we direct the ERO to modify MOD-001-0 to require that: (1)</w:t>
      </w:r>
      <w:r>
        <w:rPr>
          <w:rFonts w:ascii="Times New Roman" w:hAnsi="Times New Roman" w:cs="Times New Roman"/>
          <w:sz w:val="24"/>
          <w:szCs w:val="24"/>
        </w:rPr>
        <w:t xml:space="preserve"> </w:t>
      </w:r>
      <w:r w:rsidRPr="00530C61">
        <w:rPr>
          <w:rFonts w:ascii="Times New Roman" w:hAnsi="Times New Roman" w:cs="Times New Roman"/>
          <w:sz w:val="24"/>
          <w:szCs w:val="24"/>
        </w:rPr>
        <w:t>assumptions used for short-term ATC calculations be</w:t>
      </w:r>
      <w:r>
        <w:rPr>
          <w:rFonts w:ascii="Times New Roman" w:hAnsi="Times New Roman" w:cs="Times New Roman"/>
          <w:sz w:val="24"/>
          <w:szCs w:val="24"/>
        </w:rPr>
        <w:t xml:space="preserve"> consistent with those used for </w:t>
      </w:r>
      <w:r w:rsidRPr="00530C61">
        <w:rPr>
          <w:rFonts w:ascii="Times New Roman" w:hAnsi="Times New Roman" w:cs="Times New Roman"/>
          <w:sz w:val="24"/>
          <w:szCs w:val="24"/>
        </w:rPr>
        <w:t>operation planning to the maximum extent practicable; (2</w:t>
      </w:r>
      <w:r>
        <w:rPr>
          <w:rFonts w:ascii="Times New Roman" w:hAnsi="Times New Roman" w:cs="Times New Roman"/>
          <w:sz w:val="24"/>
          <w:szCs w:val="24"/>
        </w:rPr>
        <w:t xml:space="preserve">) assumptions used for longterm </w:t>
      </w:r>
      <w:r w:rsidRPr="00530C61">
        <w:rPr>
          <w:rFonts w:ascii="Times New Roman" w:hAnsi="Times New Roman" w:cs="Times New Roman"/>
          <w:sz w:val="24"/>
          <w:szCs w:val="24"/>
        </w:rPr>
        <w:t xml:space="preserve">ATC calculations be consistent with those </w:t>
      </w:r>
      <w:r>
        <w:rPr>
          <w:rFonts w:ascii="Times New Roman" w:hAnsi="Times New Roman" w:cs="Times New Roman"/>
          <w:sz w:val="24"/>
          <w:szCs w:val="24"/>
        </w:rPr>
        <w:t xml:space="preserve">used for system planning to the </w:t>
      </w:r>
      <w:r w:rsidRPr="00530C61">
        <w:rPr>
          <w:rFonts w:ascii="Times New Roman" w:hAnsi="Times New Roman" w:cs="Times New Roman"/>
          <w:sz w:val="24"/>
          <w:szCs w:val="24"/>
        </w:rPr>
        <w:t>maximum extent practicable and (3) ATC be updated by all transmission providers on a</w:t>
      </w:r>
      <w:r>
        <w:rPr>
          <w:rFonts w:ascii="Times New Roman" w:hAnsi="Times New Roman" w:cs="Times New Roman"/>
          <w:sz w:val="24"/>
          <w:szCs w:val="24"/>
        </w:rPr>
        <w:t xml:space="preserve"> </w:t>
      </w:r>
      <w:r w:rsidRPr="00530C61">
        <w:rPr>
          <w:rFonts w:ascii="Times New Roman" w:hAnsi="Times New Roman" w:cs="Times New Roman"/>
          <w:sz w:val="24"/>
          <w:szCs w:val="24"/>
        </w:rPr>
        <w:t>consistent time interval.</w:t>
      </w:r>
    </w:p>
    <w:p w:rsidR="00AB77A0" w:rsidRPr="00530C61" w:rsidRDefault="00AB77A0" w:rsidP="00AB77A0">
      <w:pPr>
        <w:widowControl w:val="0"/>
        <w:tabs>
          <w:tab w:val="left" w:pos="60"/>
        </w:tabs>
        <w:spacing w:line="200" w:lineRule="exact"/>
        <w:rPr>
          <w:rFonts w:ascii="Times New Roman" w:hAnsi="Times New Roman" w:cs="Times New Roman"/>
          <w:sz w:val="24"/>
          <w:szCs w:val="24"/>
        </w:rPr>
      </w:pPr>
    </w:p>
    <w:p w:rsidR="00AB77A0" w:rsidRDefault="00AB77A0" w:rsidP="00AB77A0">
      <w:pPr>
        <w:rPr>
          <w:rFonts w:ascii="Times New Roman" w:hAnsi="Times New Roman" w:cs="Times New Roman"/>
          <w:sz w:val="24"/>
          <w:szCs w:val="24"/>
        </w:rPr>
      </w:pPr>
    </w:p>
    <w:p w:rsidR="00AB77A0" w:rsidRPr="00F87E5A" w:rsidRDefault="00AB77A0" w:rsidP="00AB77A0">
      <w:pPr>
        <w:rPr>
          <w:rFonts w:ascii="Times New Roman" w:hAnsi="Times New Roman" w:cs="Times New Roman"/>
          <w:sz w:val="24"/>
          <w:szCs w:val="24"/>
        </w:rPr>
      </w:pPr>
      <w:r w:rsidRPr="00F87E5A">
        <w:rPr>
          <w:rFonts w:ascii="Times New Roman" w:hAnsi="Times New Roman" w:cs="Times New Roman"/>
          <w:sz w:val="24"/>
          <w:szCs w:val="24"/>
        </w:rPr>
        <w:t>1046. We adopt the NOPR’s proposal that this Reliability Standard should include a requirement that applicable entities make available a comprehensive list of assumptions and contingencies underlying ATC/AFC and TTC/TFC calculations. While we require the submission of contingency files under MOD-010-0, here we only direct the ERO to consider development of a requirement that the transmission service provider declare what type of contingencies it uses for specific calculations of ATC/AFC and TTC/TFC, and release the contingency files upon request if not submitted with the data filed with the ERO in compliance with MOD-010-0.</w:t>
      </w:r>
    </w:p>
    <w:p w:rsidR="00AB77A0" w:rsidRPr="00F87E5A" w:rsidRDefault="00AB77A0" w:rsidP="00AB77A0">
      <w:pPr>
        <w:rPr>
          <w:rFonts w:ascii="Times New Roman" w:hAnsi="Times New Roman" w:cs="Times New Roman"/>
          <w:sz w:val="24"/>
          <w:szCs w:val="24"/>
        </w:rPr>
      </w:pPr>
    </w:p>
    <w:p w:rsidR="00AB77A0" w:rsidRPr="00F87E5A" w:rsidRDefault="00AB77A0" w:rsidP="00AB77A0">
      <w:pPr>
        <w:rPr>
          <w:rFonts w:ascii="Times New Roman" w:hAnsi="Times New Roman" w:cs="Times New Roman"/>
          <w:sz w:val="24"/>
          <w:szCs w:val="24"/>
        </w:rPr>
      </w:pPr>
      <w:r w:rsidRPr="00F87E5A">
        <w:rPr>
          <w:rFonts w:ascii="Times New Roman" w:hAnsi="Times New Roman" w:cs="Times New Roman"/>
          <w:sz w:val="24"/>
          <w:szCs w:val="24"/>
        </w:rPr>
        <w:t>1047. In order to increase the transparency of ATC calculations, we adopt the NOPR’s proposal and direct the ERO to develop in MOD-001-0 a requirement that each transmission service provider provide on OASIS its OATT Attachment C, in which Order No. 890 requires transmission providers to include a detailed description of the specific mathematical algorithm the transmission provider uses to calculate both firm and nonfarm ATC for various time frames such as: (1) the scheduling horizon (same day and realtime), (2) operating horizon (day ahead and pre-schedule) and (3) planning horizon (beyond the operating horizon). In addition, a transmission provider must include a process flow diagram that describes the various steps that it takes in performing the ATC calculation.</w:t>
      </w:r>
    </w:p>
    <w:p w:rsidR="00AB77A0" w:rsidRPr="00F87E5A" w:rsidRDefault="00AB77A0" w:rsidP="00AB77A0">
      <w:pPr>
        <w:widowControl w:val="0"/>
        <w:tabs>
          <w:tab w:val="left" w:pos="60"/>
        </w:tabs>
        <w:spacing w:line="200" w:lineRule="exact"/>
        <w:rPr>
          <w:rFonts w:ascii="Times New Roman" w:hAnsi="Times New Roman" w:cs="Times New Roman"/>
          <w:sz w:val="24"/>
          <w:szCs w:val="24"/>
        </w:rPr>
      </w:pPr>
    </w:p>
    <w:p w:rsidR="00AB77A0" w:rsidRPr="00F87E5A" w:rsidRDefault="00AB77A0" w:rsidP="00AB77A0">
      <w:pPr>
        <w:rPr>
          <w:rFonts w:ascii="Times New Roman" w:hAnsi="Times New Roman" w:cs="Times New Roman"/>
          <w:sz w:val="24"/>
          <w:szCs w:val="24"/>
        </w:rPr>
      </w:pPr>
      <w:r w:rsidRPr="00F87E5A">
        <w:rPr>
          <w:rFonts w:ascii="Times New Roman" w:hAnsi="Times New Roman" w:cs="Times New Roman"/>
          <w:sz w:val="24"/>
          <w:szCs w:val="24"/>
        </w:rPr>
        <w:t>1052. We agree with APPA that this distinction should either be clarified or eliminated through the ongoing Reliability Standards development process, and therefore direct the ERO to modify MOD-001-0 to address TTC under transfer capability-related standards such as the FAC group of Reliability Standards.</w:t>
      </w:r>
    </w:p>
    <w:p w:rsidR="00AB77A0" w:rsidRPr="00F87E5A" w:rsidRDefault="00AB77A0" w:rsidP="00AB77A0">
      <w:pPr>
        <w:widowControl w:val="0"/>
        <w:tabs>
          <w:tab w:val="left" w:pos="60"/>
        </w:tabs>
        <w:spacing w:line="200" w:lineRule="exact"/>
        <w:rPr>
          <w:rFonts w:ascii="Times New Roman" w:hAnsi="Times New Roman" w:cs="Times New Roman"/>
          <w:sz w:val="24"/>
          <w:szCs w:val="24"/>
        </w:rPr>
      </w:pPr>
    </w:p>
    <w:p w:rsidR="00AB77A0" w:rsidRPr="00F87E5A" w:rsidRDefault="00AB77A0" w:rsidP="00AB77A0">
      <w:pPr>
        <w:rPr>
          <w:rFonts w:ascii="Times New Roman" w:hAnsi="Times New Roman" w:cs="Times New Roman"/>
          <w:sz w:val="24"/>
          <w:szCs w:val="24"/>
        </w:rPr>
      </w:pPr>
      <w:r w:rsidRPr="00F87E5A">
        <w:rPr>
          <w:rFonts w:ascii="Times New Roman" w:hAnsi="Times New Roman" w:cs="Times New Roman"/>
          <w:sz w:val="24"/>
          <w:szCs w:val="24"/>
        </w:rPr>
        <w:t>1056. The Commission agrees with APPA that the collaborative efforts and knowledge developed over decades of interconnected operation should not be wasted. We do not believe that will happen through the Reliability Standards development process and that all of the applicable entities will have significant roles to play in achieving the goal the Commission has set out in Order No. 890. Therefore, we adopt the proposal in the NOPR and direct the ERO to modify MOD-001-0 to reflect the users, owners and operators to which the Reliability Standard will apply.</w:t>
      </w:r>
    </w:p>
    <w:p w:rsidR="00AB77A0" w:rsidRPr="00F87E5A" w:rsidRDefault="00AB77A0" w:rsidP="00AB77A0">
      <w:pPr>
        <w:widowControl w:val="0"/>
        <w:tabs>
          <w:tab w:val="left" w:pos="60"/>
        </w:tabs>
        <w:spacing w:line="200" w:lineRule="exact"/>
        <w:rPr>
          <w:rFonts w:ascii="Times New Roman" w:hAnsi="Times New Roman" w:cs="Times New Roman"/>
          <w:sz w:val="24"/>
          <w:szCs w:val="24"/>
        </w:rPr>
      </w:pPr>
    </w:p>
    <w:p w:rsidR="00AB77A0" w:rsidRPr="00F87E5A" w:rsidRDefault="00AB77A0" w:rsidP="00AB77A0">
      <w:pPr>
        <w:rPr>
          <w:rFonts w:ascii="Times New Roman" w:hAnsi="Times New Roman" w:cs="Times New Roman"/>
          <w:sz w:val="24"/>
          <w:szCs w:val="24"/>
        </w:rPr>
      </w:pPr>
      <w:r w:rsidRPr="00F87E5A">
        <w:rPr>
          <w:rFonts w:ascii="Times New Roman" w:hAnsi="Times New Roman" w:cs="Times New Roman"/>
          <w:sz w:val="24"/>
          <w:szCs w:val="24"/>
        </w:rPr>
        <w:t>1057. Accordingly, the Commission neither accepts nor remands MOD-001-0 until the ERO submits additional information. Although the Commission does not propose any action with regard to MOD-001-0, we address above a number of concerns regarding the Reliability Standard, consistent with those set forth in Order No. 890. We direct the ERO to develop modifications to the Reliability Standard through the Reliability Standards development process that: (1) provide a framework for ATC, TTC and ETC calculation, developing industry-wide consistency of all ATC components; (2) require disclosure of algorithms, for both firm and non-firm ATC and processes used in the ATC calculation; (3) identify a detailed list of information to be exchanged among transmission providers for the purposes of ATC modeling; (4) include a requirement that the assumptions used in ATC and AFC calculations should be consistent with those used for planning the expansion or operation of the Bulk-Power System to the maximum extent practicable; (5) include a requirement that ATC be updated by all transmission providers on a consistent time interval; (6) include a requirement that applicable entities make available assumptions and contingencies underlying ATC and TTC calculations; (7) address only ATC/AFC while TTC/TFC should be addressed under transfer capability standards such as FAC-012-1 and (8) identify the applicable entities in terms of users, owners and operators of the Bulk-Power System.</w:t>
      </w:r>
    </w:p>
    <w:p w:rsidR="00730651" w:rsidRPr="00F87E5A" w:rsidRDefault="00730651" w:rsidP="00AB77A0">
      <w:pPr>
        <w:rPr>
          <w:rFonts w:ascii="Times New Roman" w:hAnsi="Times New Roman" w:cs="Times New Roman"/>
          <w:sz w:val="24"/>
          <w:szCs w:val="24"/>
        </w:rPr>
      </w:pPr>
    </w:p>
    <w:p w:rsidR="00730651" w:rsidRPr="00F87E5A" w:rsidRDefault="004B631D" w:rsidP="004B631D">
      <w:pPr>
        <w:rPr>
          <w:rFonts w:ascii="Times New Roman" w:hAnsi="Times New Roman" w:cs="Times New Roman"/>
          <w:sz w:val="24"/>
          <w:szCs w:val="24"/>
        </w:rPr>
      </w:pPr>
      <w:r w:rsidRPr="00F87E5A">
        <w:rPr>
          <w:rFonts w:ascii="Times New Roman" w:hAnsi="Times New Roman" w:cs="Times New Roman"/>
          <w:sz w:val="24"/>
          <w:szCs w:val="24"/>
        </w:rPr>
        <w:t>1064. APPA agrees that MOD-003-0 is a fill-in-the-blank standard. It notes that it is not sufficient in its current form and should not be approved as a mandatory Reliability Standard until the accompanying regional procedures are submitted and approved. In addition, APPA hopes that if NERC develops the MOD-001-0 Reliability Standard properly, it will include a reporting procedure for addressing shortcomings in information for all transmission customers (LSE, generator owner and purchasing-selling entity) in the MOD-001-0 Standard. APPA argues that, as a result, MOD-003-0 may be redundant and should be eliminated.</w:t>
      </w:r>
    </w:p>
    <w:p w:rsidR="001B4BC9" w:rsidRDefault="001B4BC9" w:rsidP="004C005C">
      <w:pPr>
        <w:widowControl w:val="0"/>
        <w:tabs>
          <w:tab w:val="left" w:pos="60"/>
        </w:tabs>
        <w:spacing w:line="200" w:lineRule="exact"/>
        <w:rPr>
          <w:rFonts w:ascii="Times New Roman" w:hAnsi="Times New Roman" w:cs="Times New Roman"/>
          <w:sz w:val="24"/>
          <w:szCs w:val="24"/>
        </w:rPr>
      </w:pPr>
    </w:p>
    <w:p w:rsidR="001B4BC9" w:rsidRDefault="001B4BC9" w:rsidP="004C005C">
      <w:pPr>
        <w:widowControl w:val="0"/>
        <w:tabs>
          <w:tab w:val="left" w:pos="60"/>
        </w:tabs>
        <w:spacing w:line="200" w:lineRule="exact"/>
        <w:rPr>
          <w:rFonts w:ascii="Times New Roman" w:hAnsi="Times New Roman" w:cs="Times New Roman"/>
          <w:sz w:val="24"/>
          <w:szCs w:val="24"/>
        </w:rPr>
      </w:pPr>
    </w:p>
    <w:p w:rsidR="00E50B80" w:rsidRPr="00E50B80" w:rsidRDefault="00E50B80" w:rsidP="004C005C">
      <w:pPr>
        <w:widowControl w:val="0"/>
        <w:tabs>
          <w:tab w:val="left" w:pos="60"/>
        </w:tabs>
        <w:spacing w:line="200" w:lineRule="exact"/>
        <w:rPr>
          <w:rFonts w:ascii="Times New Roman" w:hAnsi="Times New Roman" w:cs="Times New Roman"/>
          <w:b/>
          <w:sz w:val="24"/>
          <w:szCs w:val="24"/>
        </w:rPr>
      </w:pPr>
    </w:p>
    <w:p w:rsidR="00E50B80" w:rsidRPr="00E50B80" w:rsidRDefault="00E50B80" w:rsidP="00E50B80">
      <w:pPr>
        <w:widowControl w:val="0"/>
        <w:tabs>
          <w:tab w:val="left" w:pos="60"/>
        </w:tabs>
        <w:rPr>
          <w:rFonts w:ascii="Times New Roman" w:hAnsi="Times New Roman" w:cs="Times New Roman"/>
          <w:b/>
          <w:sz w:val="24"/>
          <w:szCs w:val="24"/>
        </w:rPr>
      </w:pPr>
      <w:r w:rsidRPr="00E50B80">
        <w:rPr>
          <w:rFonts w:ascii="Times New Roman" w:hAnsi="Times New Roman" w:cs="Times New Roman"/>
          <w:b/>
          <w:sz w:val="24"/>
          <w:szCs w:val="24"/>
        </w:rPr>
        <w:t>Order 729 – Order on ATC</w:t>
      </w:r>
    </w:p>
    <w:p w:rsidR="00E50B80" w:rsidRPr="00E50B80" w:rsidRDefault="00E50B80" w:rsidP="00E50B80">
      <w:pPr>
        <w:widowControl w:val="0"/>
        <w:tabs>
          <w:tab w:val="left" w:pos="60"/>
        </w:tabs>
        <w:rPr>
          <w:rFonts w:ascii="Times New Roman" w:hAnsi="Times New Roman" w:cs="Times New Roman"/>
          <w:b/>
          <w:sz w:val="24"/>
          <w:szCs w:val="24"/>
        </w:rPr>
      </w:pPr>
      <w:r w:rsidRPr="00E50B80">
        <w:rPr>
          <w:rFonts w:ascii="Times New Roman" w:hAnsi="Times New Roman" w:cs="Times New Roman"/>
          <w:b/>
          <w:sz w:val="24"/>
          <w:szCs w:val="24"/>
        </w:rPr>
        <w:t>(November 24, 2009)</w:t>
      </w:r>
    </w:p>
    <w:p w:rsidR="00E50B80" w:rsidRDefault="00E50B80" w:rsidP="00E50B80">
      <w:pPr>
        <w:widowControl w:val="0"/>
        <w:tabs>
          <w:tab w:val="left" w:pos="60"/>
        </w:tabs>
        <w:rPr>
          <w:rFonts w:ascii="Times New Roman" w:hAnsi="Times New Roman" w:cs="Times New Roman"/>
          <w:sz w:val="24"/>
          <w:szCs w:val="24"/>
        </w:rPr>
      </w:pPr>
    </w:p>
    <w:p w:rsidR="00F87E5A" w:rsidRPr="00F87E5A" w:rsidRDefault="00F87E5A" w:rsidP="00E50B80">
      <w:pPr>
        <w:rPr>
          <w:rFonts w:ascii="Times New Roman" w:hAnsi="Times New Roman" w:cs="Times New Roman"/>
          <w:b/>
          <w:sz w:val="24"/>
          <w:szCs w:val="24"/>
        </w:rPr>
      </w:pPr>
      <w:r w:rsidRPr="00F87E5A">
        <w:rPr>
          <w:rFonts w:ascii="Times New Roman" w:hAnsi="Times New Roman" w:cs="Times New Roman"/>
          <w:b/>
          <w:sz w:val="24"/>
          <w:szCs w:val="24"/>
        </w:rPr>
        <w:t>MOD-001-1</w:t>
      </w:r>
    </w:p>
    <w:p w:rsidR="00F87E5A" w:rsidRDefault="00F87E5A" w:rsidP="00E50B80">
      <w:pPr>
        <w:rPr>
          <w:rFonts w:ascii="Times New Roman" w:hAnsi="Times New Roman" w:cs="Times New Roman"/>
          <w:sz w:val="24"/>
          <w:szCs w:val="24"/>
        </w:rPr>
      </w:pPr>
    </w:p>
    <w:p w:rsidR="00E50B80" w:rsidRPr="00E50B80" w:rsidRDefault="00E50B80" w:rsidP="00E50B80">
      <w:pPr>
        <w:rPr>
          <w:rFonts w:ascii="Times New Roman" w:hAnsi="Times New Roman" w:cs="Times New Roman"/>
          <w:sz w:val="24"/>
          <w:szCs w:val="24"/>
        </w:rPr>
      </w:pPr>
      <w:r w:rsidRPr="00E50B80">
        <w:rPr>
          <w:rFonts w:ascii="Times New Roman" w:hAnsi="Times New Roman" w:cs="Times New Roman"/>
          <w:sz w:val="24"/>
          <w:szCs w:val="24"/>
        </w:rPr>
        <w:t>147. As noted in several comments, expanding the availability of the implementation documents to entities beyond the registered entities listed in the Reliability Standards may stretch the role of the ERO beyond ensuring reliability of the Bulk-Power System and could be duplicative of the associated NAESB standard requirements. Therefore, upon further consideration, the Commission declines to adopt the NOPR proposal to direct the ERO to modify MOD-001-1 to expand the availability of the implementation documents beyond those entities with a demonstrated reliability need to access such information. Instead, the Commission approves the availability provisions of the Reliability Standards as written. NERC has provided sufficient justification for limiting disclosure of the implementation documents to a discrete set of registered entities that have been identified as having a reliability need for such information.</w:t>
      </w:r>
    </w:p>
    <w:p w:rsidR="00E50B80" w:rsidRPr="00E50B80" w:rsidRDefault="00E50B80" w:rsidP="00E50B80">
      <w:pPr>
        <w:widowControl w:val="0"/>
        <w:tabs>
          <w:tab w:val="left" w:pos="60"/>
        </w:tabs>
        <w:rPr>
          <w:rFonts w:ascii="Times New Roman" w:hAnsi="Times New Roman" w:cs="Times New Roman"/>
          <w:sz w:val="24"/>
          <w:szCs w:val="24"/>
        </w:rPr>
      </w:pPr>
    </w:p>
    <w:p w:rsidR="00E50B80" w:rsidRPr="00E50B80" w:rsidRDefault="00E50B80" w:rsidP="00E50B80">
      <w:pPr>
        <w:rPr>
          <w:rFonts w:ascii="Times New Roman" w:hAnsi="Times New Roman" w:cs="Times New Roman"/>
          <w:sz w:val="24"/>
          <w:szCs w:val="24"/>
        </w:rPr>
      </w:pPr>
      <w:r w:rsidRPr="00E50B80">
        <w:rPr>
          <w:rFonts w:ascii="Times New Roman" w:hAnsi="Times New Roman" w:cs="Times New Roman"/>
          <w:sz w:val="24"/>
          <w:szCs w:val="24"/>
        </w:rPr>
        <w:t>179. We agree that, in order to be useful, hourly, daily and monthly available transfer capability and available flowgate capability values must be calculated and posted in advance of the relevant time period. Requirement R8 of MOD-001-1 and Requirement R10 of MOD-030-2 require that such posting will occur far enough in advance to meet this need. With respect to Entegra’s request regarding more frequent updates for constrained facilities, we direct the ERO to consider this suggestion through its Reliability Standards development process. Further, we agree with Cottonwood regarding unscheduled or unanticipated events. Therefore, pursuant to section 215(d)(5) of the FPA and section 39.5(f) of our regulations, we direct the ERO to develop modifications to MOD-001-1 and MOD-030-2 to clarify that material changes in system conditions will trigger an update whenever practical. Finally, we clarify that these Reliability Standards shall not be used as a “safe harbor” to avoid other, more stringent reporting or update requirements.</w:t>
      </w:r>
    </w:p>
    <w:p w:rsidR="00E50B80" w:rsidRPr="00E50B80" w:rsidRDefault="00E50B80" w:rsidP="00E50B80">
      <w:pPr>
        <w:rPr>
          <w:rFonts w:ascii="Times New Roman" w:hAnsi="Times New Roman" w:cs="Times New Roman"/>
          <w:sz w:val="24"/>
          <w:szCs w:val="24"/>
        </w:rPr>
      </w:pPr>
    </w:p>
    <w:p w:rsidR="00E50B80" w:rsidRPr="00E50B80" w:rsidRDefault="00E50B80" w:rsidP="00E50B80">
      <w:pPr>
        <w:rPr>
          <w:rFonts w:ascii="Times New Roman" w:hAnsi="Times New Roman" w:cs="Times New Roman"/>
          <w:sz w:val="24"/>
          <w:szCs w:val="24"/>
        </w:rPr>
      </w:pPr>
      <w:r w:rsidRPr="00E50B80">
        <w:rPr>
          <w:rFonts w:ascii="Times New Roman" w:hAnsi="Times New Roman" w:cs="Times New Roman"/>
          <w:sz w:val="24"/>
          <w:szCs w:val="24"/>
        </w:rPr>
        <w:t>184. As proposed, MOD-001-1 does not restrict a transmission service provider from double counting data inputs or assumptions in the calculation of available transfer or flowgate capability. To the extent possible, available transfer or flowgate capability values should reflect actual system conditions. The double-counting of various data inputs and assumptions could cause an understatement of available transfer or flowgate capability values and, thus, poses a risk to the reliability of the Bulk-Power System. We note that, in the Commission’s order accepting the associated NAESB business standards, issued concurrently with this Final Rule in Docket No. RM05-5-013, the Commission directs EPSA to address its concerns regarding the modeling of condition firm service through the NERC Reliability Standards development process.</w:t>
      </w:r>
      <w:r w:rsidR="005A4001">
        <w:rPr>
          <w:rFonts w:ascii="Times New Roman" w:hAnsi="Times New Roman" w:cs="Times New Roman"/>
          <w:sz w:val="24"/>
          <w:szCs w:val="24"/>
        </w:rPr>
        <w:t xml:space="preserve">  </w:t>
      </w:r>
      <w:r w:rsidRPr="00E50B80">
        <w:rPr>
          <w:rFonts w:ascii="Times New Roman" w:hAnsi="Times New Roman" w:cs="Times New Roman"/>
          <w:sz w:val="24"/>
          <w:szCs w:val="24"/>
        </w:rPr>
        <w:t>We reaffirm here that modeling of available transfer capability should consider the effects of conditional firm service, including the potential for double-counting. Accordingly, pursuant to section 215(d)(5) of the FPA and section 39.5(f) of our regulations, the Commission directs the ERO to develop modifications to MOD-001-1 pursuant to the ERO’s Reliability Standards development process to prevent the double-counting of data inputs and assumptions. In developing these modifications, the ERO should consider the effects of conditional firm service.  Standards for Business Practices and Communication Protocols for Public</w:t>
      </w:r>
      <w:r>
        <w:rPr>
          <w:rFonts w:ascii="Times New Roman" w:hAnsi="Times New Roman" w:cs="Times New Roman"/>
          <w:sz w:val="24"/>
          <w:szCs w:val="24"/>
        </w:rPr>
        <w:t xml:space="preserve"> </w:t>
      </w:r>
      <w:r w:rsidRPr="00E50B80">
        <w:rPr>
          <w:rFonts w:ascii="Times New Roman" w:hAnsi="Times New Roman" w:cs="Times New Roman"/>
          <w:sz w:val="24"/>
          <w:szCs w:val="24"/>
        </w:rPr>
        <w:t>Utilities, Order 215(d)(5) of the FPA and section 39.5(f) of our regulations, the Commission directs the ERO to develop modifications to MOD-001-1 pursuant to the ERO’s Reliability Standards development process to prevent the double-counting of data inputs and assumptions. In developing these modifications, the ERO should consider the effects of conditional firm service.</w:t>
      </w:r>
    </w:p>
    <w:p w:rsidR="00E50B80" w:rsidRPr="00E50B80" w:rsidRDefault="00E50B80" w:rsidP="00E50B80">
      <w:pPr>
        <w:widowControl w:val="0"/>
        <w:tabs>
          <w:tab w:val="left" w:pos="60"/>
        </w:tabs>
        <w:rPr>
          <w:rFonts w:ascii="Times New Roman" w:hAnsi="Times New Roman" w:cs="Times New Roman"/>
          <w:sz w:val="24"/>
          <w:szCs w:val="24"/>
        </w:rPr>
      </w:pPr>
    </w:p>
    <w:p w:rsidR="00E50B80" w:rsidRPr="00E50B80" w:rsidRDefault="00E50B80" w:rsidP="00E50B80">
      <w:pPr>
        <w:rPr>
          <w:rFonts w:ascii="Times New Roman" w:hAnsi="Times New Roman" w:cs="Times New Roman"/>
          <w:sz w:val="24"/>
          <w:szCs w:val="24"/>
        </w:rPr>
      </w:pPr>
      <w:r w:rsidRPr="00E50B80">
        <w:rPr>
          <w:rFonts w:ascii="Times New Roman" w:hAnsi="Times New Roman" w:cs="Times New Roman"/>
          <w:sz w:val="24"/>
          <w:szCs w:val="24"/>
        </w:rPr>
        <w:t>192…Accordingly, pursuant to section 215(d)(5) of the FPA and section 39.5(f) of our regulations, the Commission directs the ERO to develop a modification to the Reliability Standard pursuant to its Reliability Standards development process requiring transmission service providers to include in their implementation documents any inconsistent modeling practices along with a justification for such inconsistencies.</w:t>
      </w:r>
    </w:p>
    <w:p w:rsidR="00E50B80" w:rsidRDefault="00E50B80" w:rsidP="00E50B80">
      <w:pPr>
        <w:widowControl w:val="0"/>
        <w:tabs>
          <w:tab w:val="left" w:pos="60"/>
        </w:tabs>
        <w:rPr>
          <w:rFonts w:ascii="Times New Roman" w:hAnsi="Times New Roman" w:cs="Times New Roman"/>
          <w:sz w:val="24"/>
          <w:szCs w:val="24"/>
        </w:rPr>
      </w:pPr>
    </w:p>
    <w:p w:rsidR="00E50B80" w:rsidRDefault="00E50B80" w:rsidP="00E50B80">
      <w:pPr>
        <w:rPr>
          <w:rFonts w:ascii="Times New Roman" w:hAnsi="Times New Roman" w:cs="Times New Roman"/>
          <w:sz w:val="24"/>
          <w:szCs w:val="24"/>
        </w:rPr>
      </w:pPr>
      <w:r w:rsidRPr="00E50B80">
        <w:rPr>
          <w:rFonts w:ascii="Times New Roman" w:hAnsi="Times New Roman" w:cs="Times New Roman"/>
          <w:sz w:val="24"/>
          <w:szCs w:val="24"/>
        </w:rPr>
        <w:t>288. The Commission hereby adopts the NOPR proposal and approves NERC’s request to retire MOD-006-0 and MOD-007-0 and to withdraw its request for approval of MOD-001-0, MOD-002-0, MOD-003-0, MOD-004-0, MOD-005-0, MOD-008-0, and MOD-009-0. The Commission also finds that MOD-001-0, MOD-002-0, MOD-003-0, MOD-004-0, MOD-005-0, MOD-008-0, and MOD-009-0 are all superseded by the available transfer capability calculations required by the proposed MOD Reliability Standards in this proceeding are, upon the effectiveness of the proposed MOD Reliability Standards, no longer necessary.</w:t>
      </w:r>
    </w:p>
    <w:p w:rsidR="003639B4" w:rsidRDefault="003639B4" w:rsidP="00E50B80">
      <w:pPr>
        <w:rPr>
          <w:rFonts w:ascii="Times New Roman" w:hAnsi="Times New Roman" w:cs="Times New Roman"/>
          <w:sz w:val="24"/>
          <w:szCs w:val="24"/>
        </w:rPr>
      </w:pPr>
    </w:p>
    <w:p w:rsidR="003639B4" w:rsidRPr="003639B4" w:rsidRDefault="003639B4" w:rsidP="003639B4">
      <w:pPr>
        <w:rPr>
          <w:rFonts w:ascii="Times New Roman" w:hAnsi="Times New Roman" w:cs="Times New Roman"/>
          <w:b/>
          <w:sz w:val="24"/>
          <w:szCs w:val="24"/>
        </w:rPr>
      </w:pPr>
      <w:r w:rsidRPr="003639B4">
        <w:rPr>
          <w:rFonts w:ascii="Times New Roman" w:hAnsi="Times New Roman" w:cs="Times New Roman"/>
          <w:b/>
          <w:sz w:val="24"/>
          <w:szCs w:val="24"/>
        </w:rPr>
        <w:t>Order 729-A</w:t>
      </w:r>
      <w:r w:rsidRPr="003639B4">
        <w:rPr>
          <w:rFonts w:ascii="Times New Roman" w:hAnsi="Times New Roman" w:cs="Times New Roman"/>
          <w:b/>
          <w:sz w:val="24"/>
          <w:szCs w:val="24"/>
        </w:rPr>
        <w:tab/>
      </w:r>
      <w:r w:rsidRPr="003639B4">
        <w:rPr>
          <w:rFonts w:ascii="Times New Roman" w:hAnsi="Times New Roman" w:cs="Times New Roman"/>
          <w:b/>
          <w:sz w:val="24"/>
          <w:szCs w:val="24"/>
        </w:rPr>
        <w:tab/>
      </w:r>
    </w:p>
    <w:p w:rsidR="003639B4" w:rsidRDefault="003639B4" w:rsidP="003639B4">
      <w:pPr>
        <w:rPr>
          <w:rFonts w:ascii="Times New Roman" w:hAnsi="Times New Roman" w:cs="Times New Roman"/>
          <w:b/>
          <w:sz w:val="24"/>
          <w:szCs w:val="24"/>
        </w:rPr>
      </w:pPr>
      <w:r w:rsidRPr="003639B4">
        <w:rPr>
          <w:rFonts w:ascii="Times New Roman" w:hAnsi="Times New Roman" w:cs="Times New Roman"/>
          <w:b/>
          <w:sz w:val="24"/>
          <w:szCs w:val="24"/>
        </w:rPr>
        <w:t>(May 5, 2010)</w:t>
      </w:r>
    </w:p>
    <w:p w:rsidR="003639B4" w:rsidRDefault="003639B4" w:rsidP="003639B4">
      <w:pPr>
        <w:rPr>
          <w:rFonts w:ascii="Times New Roman" w:hAnsi="Times New Roman" w:cs="Times New Roman"/>
          <w:b/>
          <w:sz w:val="24"/>
          <w:szCs w:val="24"/>
        </w:rPr>
      </w:pPr>
    </w:p>
    <w:p w:rsidR="003639B4" w:rsidRDefault="003639B4" w:rsidP="003639B4">
      <w:pPr>
        <w:pStyle w:val="Default"/>
        <w:rPr>
          <w:b/>
        </w:rPr>
      </w:pPr>
      <w:r w:rsidRPr="003639B4">
        <w:rPr>
          <w:b/>
        </w:rPr>
        <w:t>MOD-001-1</w:t>
      </w:r>
    </w:p>
    <w:p w:rsidR="003639B4" w:rsidRPr="003639B4" w:rsidRDefault="003639B4" w:rsidP="003639B4">
      <w:pPr>
        <w:pStyle w:val="Default"/>
        <w:rPr>
          <w:b/>
        </w:rPr>
      </w:pPr>
    </w:p>
    <w:p w:rsidR="003639B4" w:rsidRPr="003639B4" w:rsidRDefault="003639B4" w:rsidP="003639B4">
      <w:pPr>
        <w:pStyle w:val="Default"/>
      </w:pPr>
      <w:r w:rsidRPr="003639B4">
        <w:t>12. Reliability Standard MOD-001-1 establishes foundational requirements that oblige entities to select a methodology for calculating available transfer or flowgate capability and then make the appropriate calculations. Reliability Standards MOD-004-1 and MOD-008-1 establish the methodologies for calculating capacity benefit margin and transmission reliability margin, respectively. The NERC Glossary of Terms Used in Reliability Standards (NERC Glossary) defines available transfer capability as “Total Transfer Capability less Exiting Transmission Commitments (including retail customer service), less a Capacity Benefit Margin, less a Transmission Reliability Margin, plus Postbacks, plus counterflows.”</w:t>
      </w:r>
      <w:r w:rsidRPr="003639B4">
        <w:rPr>
          <w:b/>
          <w:bCs/>
        </w:rPr>
        <w:t xml:space="preserve"> </w:t>
      </w:r>
      <w:r w:rsidRPr="003639B4">
        <w:t xml:space="preserve">Thus, both capacity benefit margin and transmission reliability margin are integral components of any available transfer or flowgate calculation. </w:t>
      </w:r>
    </w:p>
    <w:p w:rsidR="003639B4" w:rsidRPr="003639B4" w:rsidRDefault="003639B4" w:rsidP="003639B4">
      <w:pPr>
        <w:pStyle w:val="Default"/>
      </w:pPr>
    </w:p>
    <w:p w:rsidR="003639B4" w:rsidRPr="003639B4" w:rsidRDefault="003639B4" w:rsidP="003639B4">
      <w:pPr>
        <w:pStyle w:val="Default"/>
      </w:pPr>
      <w:r w:rsidRPr="003639B4">
        <w:t xml:space="preserve">13…Thus, the Commission clarifies that the calculations of capacity benefit margin and transfer reliability margin, performed under MOD-004-1 and MOD-008-1 respectively, are properly audited under Requirement R3.1 of MOD-001-1. </w:t>
      </w:r>
    </w:p>
    <w:p w:rsidR="003639B4" w:rsidRPr="003639B4" w:rsidRDefault="003639B4" w:rsidP="003639B4">
      <w:pPr>
        <w:pStyle w:val="Default"/>
      </w:pPr>
    </w:p>
    <w:p w:rsidR="003639B4" w:rsidRPr="003639B4" w:rsidRDefault="003639B4" w:rsidP="003639B4">
      <w:pPr>
        <w:pStyle w:val="Default"/>
      </w:pPr>
      <w:r w:rsidRPr="003639B4">
        <w:t xml:space="preserve">23. The Commission agrees that it could be difficult in some instances to enforce a requirement that hinges upon such phrases as “material changes” and “whenever practical.” Nevertheless, we believe that such modifications would be useful to ensure timely updates of available transfer or flowgate capability values. If the ERO is unable to modify the requirements of MOD-001-1 and MOD-030-2 to incorporate such language in a manner that sets clear criteria or measures of whether an entity is in compliance with the relevant Reliability Standard or cannot otherwise identify specific changes in system conditions that require an update, the ERO must, at a minimum, include this language in its measures of compliance associated with those Reliability Standards. </w:t>
      </w:r>
    </w:p>
    <w:p w:rsidR="003639B4" w:rsidRDefault="003639B4" w:rsidP="003639B4">
      <w:pPr>
        <w:pStyle w:val="Default"/>
        <w:rPr>
          <w:sz w:val="26"/>
          <w:szCs w:val="26"/>
        </w:rPr>
      </w:pPr>
    </w:p>
    <w:p w:rsidR="003639B4" w:rsidRPr="003639B4" w:rsidRDefault="003639B4" w:rsidP="003639B4">
      <w:pPr>
        <w:pStyle w:val="Default"/>
        <w:rPr>
          <w:b/>
        </w:rPr>
      </w:pPr>
      <w:r w:rsidRPr="003639B4">
        <w:rPr>
          <w:b/>
        </w:rPr>
        <w:t>Order on Reliability Standards</w:t>
      </w:r>
    </w:p>
    <w:p w:rsidR="003639B4" w:rsidRPr="003639B4" w:rsidRDefault="003639B4" w:rsidP="003639B4">
      <w:pPr>
        <w:pStyle w:val="Default"/>
        <w:rPr>
          <w:b/>
        </w:rPr>
      </w:pPr>
      <w:r w:rsidRPr="003639B4">
        <w:rPr>
          <w:b/>
        </w:rPr>
        <w:t>(July 15, 2010)</w:t>
      </w:r>
    </w:p>
    <w:p w:rsidR="003639B4" w:rsidRPr="00F87E5A" w:rsidRDefault="003639B4" w:rsidP="003639B4">
      <w:pPr>
        <w:pStyle w:val="Default"/>
        <w:rPr>
          <w:b/>
          <w:bCs/>
        </w:rPr>
      </w:pPr>
      <w:r w:rsidRPr="00F87E5A">
        <w:rPr>
          <w:b/>
          <w:bCs/>
        </w:rPr>
        <w:t xml:space="preserve">Commission Determination </w:t>
      </w:r>
    </w:p>
    <w:p w:rsidR="003639B4" w:rsidRPr="003639B4" w:rsidRDefault="003639B4" w:rsidP="003639B4">
      <w:pPr>
        <w:pStyle w:val="Default"/>
      </w:pPr>
    </w:p>
    <w:p w:rsidR="003639B4" w:rsidRPr="003639B4" w:rsidRDefault="003639B4" w:rsidP="003639B4">
      <w:pPr>
        <w:pStyle w:val="Default"/>
      </w:pPr>
      <w:r w:rsidRPr="003639B4">
        <w:t xml:space="preserve">13. Upon further consideration, the Commission has determined that the implementation schedule of the MOD Reliability Standards should be keyed to the date of approval of the Reliability Standards, as originally contemplated in Order No. 729, and not the date of publication of Order No. 729 in the </w:t>
      </w:r>
      <w:r w:rsidRPr="003639B4">
        <w:rPr>
          <w:i/>
          <w:iCs/>
        </w:rPr>
        <w:t>Federal Register</w:t>
      </w:r>
      <w:r w:rsidRPr="003639B4">
        <w:t xml:space="preserve">. Accordingly, the Commission grants rehearing of its determination in Order No. 729-A and directs that the MOD Reliability Standards shall become effective within the United States as of the first day of the first quarter occurring 365 days after their approval by the Commission, i.e., April 1, 2011. </w:t>
      </w:r>
    </w:p>
    <w:p w:rsidR="003639B4" w:rsidRDefault="003639B4" w:rsidP="003639B4">
      <w:pPr>
        <w:pStyle w:val="Default"/>
        <w:rPr>
          <w:sz w:val="26"/>
          <w:szCs w:val="26"/>
        </w:rPr>
      </w:pPr>
    </w:p>
    <w:p w:rsidR="002361EE" w:rsidRPr="00CA456A" w:rsidRDefault="002361EE" w:rsidP="003639B4">
      <w:pPr>
        <w:pStyle w:val="Default"/>
        <w:rPr>
          <w:b/>
        </w:rPr>
      </w:pPr>
      <w:r w:rsidRPr="00CA456A">
        <w:rPr>
          <w:b/>
        </w:rPr>
        <w:t>Order Approving Interpretation (September 16, 2010)</w:t>
      </w:r>
    </w:p>
    <w:p w:rsidR="002361EE" w:rsidRPr="00CA456A" w:rsidRDefault="002361EE" w:rsidP="003639B4">
      <w:pPr>
        <w:pStyle w:val="Default"/>
      </w:pPr>
    </w:p>
    <w:p w:rsidR="002361EE" w:rsidRPr="00CA456A" w:rsidRDefault="002361EE" w:rsidP="002361EE">
      <w:pPr>
        <w:pStyle w:val="Default"/>
      </w:pPr>
      <w:r w:rsidRPr="00CA456A">
        <w:t>P 5. In a December 2, 2009 filing, NERC petitioned the Commission to approve interpretations to certain requirements of two MOD Reliability Standards. [Footnote omitted.] NERC states that the New York Independent System Operator (NYISO) requested NERC to interpret these provisions. NERC requests that the interpretations be made effective immediately upon Commission approval. As a preliminary matter, NERC states that the NERC Board of Trustees, contemporaneous with Board approval of the MOD interpretation, also adopted a resolution providing that “requests for a decision on how a reliability standard applies to a registered entity’s particular facts and circumstances should not be addressed through the interpretations process.” [Footnote omitted.] NERC states that NYISO’s request is an example of such a request and NERC does not expect similar fact-specific interpretations in the future.</w:t>
      </w:r>
    </w:p>
    <w:p w:rsidR="002361EE" w:rsidRPr="00CA456A" w:rsidRDefault="002361EE" w:rsidP="003639B4">
      <w:pPr>
        <w:pStyle w:val="Default"/>
      </w:pPr>
    </w:p>
    <w:p w:rsidR="002361EE" w:rsidRPr="00CA456A" w:rsidRDefault="002361EE" w:rsidP="002361EE">
      <w:pPr>
        <w:pStyle w:val="Default"/>
      </w:pPr>
      <w:r w:rsidRPr="00CA456A">
        <w:t>P 7. In its request for interpretation, NYISO asked NERC to clarify whether the "advisory ATC" used under the NYISO tariff is subject to the ATC calculation and recalculation requirements in MOD-001-1 Requirements R2 and R8. [Footnote omitted.]</w:t>
      </w:r>
    </w:p>
    <w:p w:rsidR="002361EE" w:rsidRPr="00CA456A" w:rsidRDefault="002361EE" w:rsidP="003639B4">
      <w:pPr>
        <w:pStyle w:val="Default"/>
      </w:pPr>
    </w:p>
    <w:p w:rsidR="00CA456A" w:rsidRDefault="00CA456A" w:rsidP="00CA456A">
      <w:pPr>
        <w:widowControl w:val="0"/>
        <w:tabs>
          <w:tab w:val="left" w:pos="60"/>
        </w:tabs>
        <w:rPr>
          <w:rFonts w:ascii="Times New Roman" w:hAnsi="Times New Roman" w:cs="Times New Roman"/>
          <w:sz w:val="24"/>
          <w:szCs w:val="24"/>
        </w:rPr>
      </w:pPr>
      <w:r w:rsidRPr="00CA456A">
        <w:rPr>
          <w:rFonts w:ascii="Times New Roman" w:hAnsi="Times New Roman" w:cs="Times New Roman"/>
          <w:sz w:val="24"/>
          <w:szCs w:val="24"/>
        </w:rPr>
        <w:t>P 20. We approve NERC's proposed interpretation of Reliability Standards MOD-001-1 and MOD-029-1, effective on the issuance of this order, as requested by NERC. For the reasons stated below, we find the interpretations submitted by NERC to be just, reasonable, not unduly discriminatory or preferential, and in the public interest. Further, we agree with NERC that, for the future, a request for interpretation that pertains to the particular facts and circumstances of a registered entity should not be addressed through the interpretations process. Additionally, we note that NYISO states that "the NYISO OATT’s definition of 'ATC' . . . does not fully reflect the 'advisory' nature of most NYISO ATC calculation." [Footnote omitted.] To the extent that NYISO's tariff does not reflect its actual mode of operation, we note that NYISO is required to take steps to ensure that its tariff and its actual operations are in harmony. NYISO further states that it is initiating a stakeholder process to update the definition of ATC in its tariff, and we encourage it to do so expeditiously.</w:t>
      </w:r>
    </w:p>
    <w:p w:rsidR="00CA456A" w:rsidRDefault="00CA456A" w:rsidP="00CA456A">
      <w:pPr>
        <w:widowControl w:val="0"/>
        <w:tabs>
          <w:tab w:val="left" w:pos="60"/>
        </w:tabs>
        <w:rPr>
          <w:rFonts w:ascii="Times New Roman" w:hAnsi="Times New Roman" w:cs="Times New Roman"/>
          <w:sz w:val="24"/>
          <w:szCs w:val="24"/>
        </w:rPr>
      </w:pPr>
    </w:p>
    <w:p w:rsidR="00CA456A" w:rsidRPr="00CA456A" w:rsidRDefault="00CA456A" w:rsidP="00CA456A">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CA456A">
        <w:rPr>
          <w:rFonts w:ascii="Times New Roman" w:hAnsi="Times New Roman" w:cs="Times New Roman"/>
          <w:sz w:val="24"/>
          <w:szCs w:val="24"/>
        </w:rPr>
        <w:t>21. With regard to the interpretation of MOD-001-1 Requirements R2 and R8, NYISO</w:t>
      </w:r>
      <w:r>
        <w:rPr>
          <w:rFonts w:ascii="Times New Roman" w:hAnsi="Times New Roman" w:cs="Times New Roman"/>
          <w:sz w:val="24"/>
          <w:szCs w:val="24"/>
        </w:rPr>
        <w:t xml:space="preserve"> </w:t>
      </w:r>
      <w:r w:rsidRPr="00CA456A">
        <w:rPr>
          <w:rFonts w:ascii="Times New Roman" w:hAnsi="Times New Roman" w:cs="Times New Roman"/>
          <w:sz w:val="24"/>
          <w:szCs w:val="24"/>
        </w:rPr>
        <w:t>argues, in essence, that in its approved "financial reservation" transmission model, some</w:t>
      </w:r>
      <w:r>
        <w:rPr>
          <w:rFonts w:ascii="Times New Roman" w:hAnsi="Times New Roman" w:cs="Times New Roman"/>
          <w:sz w:val="24"/>
          <w:szCs w:val="24"/>
        </w:rPr>
        <w:t xml:space="preserve"> </w:t>
      </w:r>
      <w:r w:rsidRPr="00CA456A">
        <w:rPr>
          <w:rFonts w:ascii="Times New Roman" w:hAnsi="Times New Roman" w:cs="Times New Roman"/>
          <w:sz w:val="24"/>
          <w:szCs w:val="24"/>
        </w:rPr>
        <w:t>of the calculation requirements of MOD-001-1 are neither relevant nor necessary for</w:t>
      </w:r>
      <w:r>
        <w:rPr>
          <w:rFonts w:ascii="Times New Roman" w:hAnsi="Times New Roman" w:cs="Times New Roman"/>
          <w:sz w:val="24"/>
          <w:szCs w:val="24"/>
        </w:rPr>
        <w:t xml:space="preserve"> </w:t>
      </w:r>
      <w:r w:rsidRPr="00CA456A">
        <w:rPr>
          <w:rFonts w:ascii="Times New Roman" w:hAnsi="Times New Roman" w:cs="Times New Roman"/>
          <w:sz w:val="24"/>
          <w:szCs w:val="24"/>
        </w:rPr>
        <w:t>reliability. It claims that, since NYISO uses Advisory ATC, transmission reservations</w:t>
      </w:r>
      <w:r>
        <w:rPr>
          <w:rFonts w:ascii="Times New Roman" w:hAnsi="Times New Roman" w:cs="Times New Roman"/>
          <w:sz w:val="24"/>
          <w:szCs w:val="24"/>
        </w:rPr>
        <w:t xml:space="preserve"> </w:t>
      </w:r>
      <w:r w:rsidRPr="00CA456A">
        <w:rPr>
          <w:rFonts w:ascii="Times New Roman" w:hAnsi="Times New Roman" w:cs="Times New Roman"/>
          <w:sz w:val="24"/>
          <w:szCs w:val="24"/>
        </w:rPr>
        <w:t>are generally not allowed and, therefore, computing ATC for future time periods is not</w:t>
      </w:r>
      <w:r>
        <w:rPr>
          <w:rFonts w:ascii="Times New Roman" w:hAnsi="Times New Roman" w:cs="Times New Roman"/>
          <w:sz w:val="24"/>
          <w:szCs w:val="24"/>
        </w:rPr>
        <w:t xml:space="preserve"> </w:t>
      </w:r>
      <w:r w:rsidRPr="00CA456A">
        <w:rPr>
          <w:rFonts w:ascii="Times New Roman" w:hAnsi="Times New Roman" w:cs="Times New Roman"/>
          <w:sz w:val="24"/>
          <w:szCs w:val="24"/>
        </w:rPr>
        <w:t>necessary.</w:t>
      </w:r>
    </w:p>
    <w:p w:rsidR="00CA456A" w:rsidRDefault="00CA456A" w:rsidP="00CA456A">
      <w:pPr>
        <w:widowControl w:val="0"/>
        <w:tabs>
          <w:tab w:val="left" w:pos="60"/>
        </w:tabs>
        <w:rPr>
          <w:rFonts w:ascii="Times New Roman" w:hAnsi="Times New Roman" w:cs="Times New Roman"/>
          <w:sz w:val="24"/>
          <w:szCs w:val="24"/>
        </w:rPr>
      </w:pPr>
    </w:p>
    <w:p w:rsidR="00CA456A" w:rsidRDefault="00CA456A" w:rsidP="00CA456A">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CA456A">
        <w:rPr>
          <w:rFonts w:ascii="Times New Roman" w:hAnsi="Times New Roman" w:cs="Times New Roman"/>
          <w:sz w:val="24"/>
          <w:szCs w:val="24"/>
        </w:rPr>
        <w:t>22. NERC makes clear in its interpretation that it disagrees</w:t>
      </w:r>
      <w:r>
        <w:rPr>
          <w:rFonts w:ascii="Times New Roman" w:hAnsi="Times New Roman" w:cs="Times New Roman"/>
          <w:sz w:val="24"/>
          <w:szCs w:val="24"/>
        </w:rPr>
        <w:t>…</w:t>
      </w:r>
      <w:r w:rsidRPr="00CA456A">
        <w:rPr>
          <w:rFonts w:ascii="Times New Roman" w:hAnsi="Times New Roman" w:cs="Times New Roman"/>
          <w:sz w:val="24"/>
          <w:szCs w:val="24"/>
        </w:rPr>
        <w:t>Thus, according to NERC, NYISO must comply with Requirements R2 and R8 to</w:t>
      </w:r>
      <w:r>
        <w:rPr>
          <w:rFonts w:ascii="Times New Roman" w:hAnsi="Times New Roman" w:cs="Times New Roman"/>
          <w:sz w:val="24"/>
          <w:szCs w:val="24"/>
        </w:rPr>
        <w:t xml:space="preserve"> </w:t>
      </w:r>
      <w:r w:rsidRPr="00CA456A">
        <w:rPr>
          <w:rFonts w:ascii="Times New Roman" w:hAnsi="Times New Roman" w:cs="Times New Roman"/>
          <w:sz w:val="24"/>
          <w:szCs w:val="24"/>
        </w:rPr>
        <w:t>calculate and recalculate ATC, for those paths that fit within the NERC definition of</w:t>
      </w:r>
      <w:r>
        <w:rPr>
          <w:rFonts w:ascii="Times New Roman" w:hAnsi="Times New Roman" w:cs="Times New Roman"/>
          <w:sz w:val="24"/>
          <w:szCs w:val="24"/>
        </w:rPr>
        <w:t xml:space="preserve"> </w:t>
      </w:r>
      <w:r w:rsidRPr="00CA456A">
        <w:rPr>
          <w:rFonts w:ascii="Times New Roman" w:hAnsi="Times New Roman" w:cs="Times New Roman"/>
          <w:sz w:val="24"/>
          <w:szCs w:val="24"/>
        </w:rPr>
        <w:t>ATC Paths. We agree.</w:t>
      </w:r>
    </w:p>
    <w:p w:rsidR="00CA456A" w:rsidRDefault="00CA456A" w:rsidP="00CA456A">
      <w:pPr>
        <w:widowControl w:val="0"/>
        <w:tabs>
          <w:tab w:val="left" w:pos="60"/>
        </w:tabs>
        <w:rPr>
          <w:rFonts w:ascii="Times New Roman" w:hAnsi="Times New Roman" w:cs="Times New Roman"/>
          <w:sz w:val="24"/>
          <w:szCs w:val="24"/>
        </w:rPr>
      </w:pPr>
    </w:p>
    <w:p w:rsidR="00CA456A" w:rsidRPr="00CA456A" w:rsidRDefault="00CA456A" w:rsidP="00CA456A">
      <w:pPr>
        <w:widowControl w:val="0"/>
        <w:tabs>
          <w:tab w:val="left" w:pos="60"/>
        </w:tabs>
        <w:rPr>
          <w:rFonts w:ascii="Times New Roman" w:hAnsi="Times New Roman" w:cs="Times New Roman"/>
          <w:sz w:val="24"/>
          <w:szCs w:val="24"/>
        </w:rPr>
      </w:pPr>
      <w:r>
        <w:rPr>
          <w:rFonts w:ascii="Times New Roman" w:hAnsi="Times New Roman" w:cs="Times New Roman"/>
          <w:sz w:val="24"/>
          <w:szCs w:val="24"/>
        </w:rPr>
        <w:t xml:space="preserve">P </w:t>
      </w:r>
      <w:r w:rsidRPr="00CA456A">
        <w:rPr>
          <w:rFonts w:ascii="Times New Roman" w:hAnsi="Times New Roman" w:cs="Times New Roman"/>
          <w:sz w:val="24"/>
          <w:szCs w:val="24"/>
        </w:rPr>
        <w:t>23. We recognize that NYISO's internal paths may not meet this definition. In its</w:t>
      </w:r>
      <w:r>
        <w:rPr>
          <w:rFonts w:ascii="Times New Roman" w:hAnsi="Times New Roman" w:cs="Times New Roman"/>
          <w:sz w:val="24"/>
          <w:szCs w:val="24"/>
        </w:rPr>
        <w:t xml:space="preserve"> </w:t>
      </w:r>
      <w:r w:rsidRPr="00CA456A">
        <w:rPr>
          <w:rFonts w:ascii="Times New Roman" w:hAnsi="Times New Roman" w:cs="Times New Roman"/>
          <w:sz w:val="24"/>
          <w:szCs w:val="24"/>
        </w:rPr>
        <w:t>comments submitted with the first ballot, NYISO stated that "[we] read[] the</w:t>
      </w:r>
      <w:r>
        <w:rPr>
          <w:rFonts w:ascii="Times New Roman" w:hAnsi="Times New Roman" w:cs="Times New Roman"/>
          <w:sz w:val="24"/>
          <w:szCs w:val="24"/>
        </w:rPr>
        <w:t xml:space="preserve"> </w:t>
      </w:r>
      <w:r w:rsidRPr="00CA456A">
        <w:rPr>
          <w:rFonts w:ascii="Times New Roman" w:hAnsi="Times New Roman" w:cs="Times New Roman"/>
          <w:sz w:val="24"/>
          <w:szCs w:val="24"/>
        </w:rPr>
        <w:t>interpretation as not requiring [us] to calculate ATC with respect to internal interfaces</w:t>
      </w:r>
      <w:r>
        <w:rPr>
          <w:rFonts w:ascii="Times New Roman" w:hAnsi="Times New Roman" w:cs="Times New Roman"/>
          <w:sz w:val="24"/>
          <w:szCs w:val="24"/>
        </w:rPr>
        <w:t xml:space="preserve"> </w:t>
      </w:r>
      <w:r w:rsidRPr="00CA456A">
        <w:rPr>
          <w:rFonts w:ascii="Times New Roman" w:hAnsi="Times New Roman" w:cs="Times New Roman"/>
          <w:sz w:val="24"/>
          <w:szCs w:val="24"/>
        </w:rPr>
        <w:t>because there are no time periods when [our] customers may not schedule transactions so</w:t>
      </w:r>
      <w:r>
        <w:rPr>
          <w:rFonts w:ascii="Times New Roman" w:hAnsi="Times New Roman" w:cs="Times New Roman"/>
          <w:sz w:val="24"/>
          <w:szCs w:val="24"/>
        </w:rPr>
        <w:t xml:space="preserve"> </w:t>
      </w:r>
      <w:r w:rsidRPr="00CA456A">
        <w:rPr>
          <w:rFonts w:ascii="Times New Roman" w:hAnsi="Times New Roman" w:cs="Times New Roman"/>
          <w:sz w:val="24"/>
          <w:szCs w:val="24"/>
        </w:rPr>
        <w:t>long as such customers are willing to pay for congestion costs. Ultimately these</w:t>
      </w:r>
      <w:r>
        <w:rPr>
          <w:rFonts w:ascii="Times New Roman" w:hAnsi="Times New Roman" w:cs="Times New Roman"/>
          <w:sz w:val="24"/>
          <w:szCs w:val="24"/>
        </w:rPr>
        <w:t xml:space="preserve"> </w:t>
      </w:r>
      <w:r w:rsidRPr="00CA456A">
        <w:rPr>
          <w:rFonts w:ascii="Times New Roman" w:hAnsi="Times New Roman" w:cs="Times New Roman"/>
          <w:sz w:val="24"/>
          <w:szCs w:val="24"/>
        </w:rPr>
        <w:t>standards would not be applicable to the NYISO internal interfaces."</w:t>
      </w:r>
      <w:r>
        <w:rPr>
          <w:rFonts w:ascii="Times New Roman" w:hAnsi="Times New Roman" w:cs="Times New Roman"/>
          <w:sz w:val="24"/>
          <w:szCs w:val="24"/>
        </w:rPr>
        <w:t xml:space="preserve"> [Footnote omitted.]</w:t>
      </w:r>
      <w:r w:rsidRPr="00CA456A">
        <w:rPr>
          <w:rFonts w:ascii="Times New Roman" w:hAnsi="Times New Roman" w:cs="Times New Roman"/>
          <w:sz w:val="24"/>
          <w:szCs w:val="24"/>
        </w:rPr>
        <w:t xml:space="preserve"> A review of the</w:t>
      </w:r>
      <w:r>
        <w:rPr>
          <w:rFonts w:ascii="Times New Roman" w:hAnsi="Times New Roman" w:cs="Times New Roman"/>
          <w:sz w:val="24"/>
          <w:szCs w:val="24"/>
        </w:rPr>
        <w:t xml:space="preserve"> </w:t>
      </w:r>
      <w:r w:rsidRPr="00CA456A">
        <w:rPr>
          <w:rFonts w:ascii="Times New Roman" w:hAnsi="Times New Roman" w:cs="Times New Roman"/>
          <w:sz w:val="24"/>
          <w:szCs w:val="24"/>
        </w:rPr>
        <w:t>NYISO OATT and Transmission Services Manual confirms that reservations beyond one</w:t>
      </w:r>
      <w:r>
        <w:rPr>
          <w:rFonts w:ascii="Times New Roman" w:hAnsi="Times New Roman" w:cs="Times New Roman"/>
          <w:sz w:val="24"/>
          <w:szCs w:val="24"/>
        </w:rPr>
        <w:t xml:space="preserve"> </w:t>
      </w:r>
      <w:r w:rsidRPr="00CA456A">
        <w:rPr>
          <w:rFonts w:ascii="Times New Roman" w:hAnsi="Times New Roman" w:cs="Times New Roman"/>
          <w:sz w:val="24"/>
          <w:szCs w:val="24"/>
        </w:rPr>
        <w:t>day in advance are not permitted, except on external interfaces (i.e., with Hydro Quebec).</w:t>
      </w:r>
      <w:r>
        <w:rPr>
          <w:rFonts w:ascii="Times New Roman" w:hAnsi="Times New Roman" w:cs="Times New Roman"/>
          <w:sz w:val="24"/>
          <w:szCs w:val="24"/>
        </w:rPr>
        <w:t xml:space="preserve"> </w:t>
      </w:r>
      <w:r w:rsidRPr="00CA456A">
        <w:rPr>
          <w:rFonts w:ascii="Times New Roman" w:hAnsi="Times New Roman" w:cs="Times New Roman"/>
          <w:sz w:val="24"/>
          <w:szCs w:val="24"/>
        </w:rPr>
        <w:t>Thus, NYISO appears correct that NYISO’s internal interfaces are not ATC Paths</w:t>
      </w:r>
      <w:r>
        <w:rPr>
          <w:rFonts w:ascii="Times New Roman" w:hAnsi="Times New Roman" w:cs="Times New Roman"/>
          <w:sz w:val="24"/>
          <w:szCs w:val="24"/>
        </w:rPr>
        <w:t xml:space="preserve"> </w:t>
      </w:r>
      <w:r w:rsidRPr="00CA456A">
        <w:rPr>
          <w:rFonts w:ascii="Times New Roman" w:hAnsi="Times New Roman" w:cs="Times New Roman"/>
          <w:sz w:val="24"/>
          <w:szCs w:val="24"/>
        </w:rPr>
        <w:t>because ATC is not calculated and none of the categories of "Posted Path" in the</w:t>
      </w:r>
      <w:r>
        <w:rPr>
          <w:rFonts w:ascii="Times New Roman" w:hAnsi="Times New Roman" w:cs="Times New Roman"/>
          <w:sz w:val="24"/>
          <w:szCs w:val="24"/>
        </w:rPr>
        <w:t xml:space="preserve"> </w:t>
      </w:r>
      <w:r w:rsidRPr="00CA456A">
        <w:rPr>
          <w:rFonts w:ascii="Times New Roman" w:hAnsi="Times New Roman" w:cs="Times New Roman"/>
          <w:sz w:val="24"/>
          <w:szCs w:val="24"/>
        </w:rPr>
        <w:t>Commission's regulations apply</w:t>
      </w:r>
      <w:r>
        <w:rPr>
          <w:rFonts w:ascii="Times New Roman" w:hAnsi="Times New Roman" w:cs="Times New Roman"/>
          <w:sz w:val="24"/>
          <w:szCs w:val="24"/>
        </w:rPr>
        <w:t>. [Footnote omitted.]</w:t>
      </w:r>
    </w:p>
    <w:p w:rsidR="00CA456A" w:rsidRDefault="00CA456A" w:rsidP="003639B4">
      <w:pPr>
        <w:pStyle w:val="Default"/>
        <w:rPr>
          <w:sz w:val="26"/>
          <w:szCs w:val="26"/>
        </w:rPr>
      </w:pPr>
    </w:p>
    <w:p w:rsidR="00CA456A" w:rsidRDefault="00CA456A" w:rsidP="00CA456A">
      <w:pPr>
        <w:pStyle w:val="Default"/>
        <w:rPr>
          <w:sz w:val="26"/>
          <w:szCs w:val="26"/>
        </w:rPr>
      </w:pPr>
      <w:r>
        <w:rPr>
          <w:sz w:val="26"/>
          <w:szCs w:val="26"/>
        </w:rPr>
        <w:t xml:space="preserve">P </w:t>
      </w:r>
      <w:r w:rsidRPr="00CA456A">
        <w:rPr>
          <w:sz w:val="26"/>
          <w:szCs w:val="26"/>
        </w:rPr>
        <w:t>24. However, it appears that NYISO's external interfaces are ATC Paths, because,</w:t>
      </w:r>
      <w:r>
        <w:rPr>
          <w:sz w:val="26"/>
          <w:szCs w:val="26"/>
        </w:rPr>
        <w:t xml:space="preserve"> </w:t>
      </w:r>
      <w:r w:rsidRPr="00CA456A">
        <w:rPr>
          <w:sz w:val="26"/>
          <w:szCs w:val="26"/>
        </w:rPr>
        <w:t>whether or not ATC is calculated by NYISO, they are "a control area to control area</w:t>
      </w:r>
      <w:r>
        <w:rPr>
          <w:sz w:val="26"/>
          <w:szCs w:val="26"/>
        </w:rPr>
        <w:t xml:space="preserve"> </w:t>
      </w:r>
      <w:r w:rsidRPr="00CA456A">
        <w:rPr>
          <w:sz w:val="26"/>
          <w:szCs w:val="26"/>
        </w:rPr>
        <w:t>interconnection" within the Posted Path definition. As NYISO has acknowledged, these</w:t>
      </w:r>
      <w:r>
        <w:rPr>
          <w:sz w:val="26"/>
          <w:szCs w:val="26"/>
        </w:rPr>
        <w:t xml:space="preserve"> </w:t>
      </w:r>
      <w:r w:rsidRPr="00CA456A">
        <w:rPr>
          <w:sz w:val="26"/>
          <w:szCs w:val="26"/>
        </w:rPr>
        <w:t>external interfaces can be pre-scheduled, and NYISO’s transmission reservation</w:t>
      </w:r>
      <w:r>
        <w:rPr>
          <w:sz w:val="26"/>
          <w:szCs w:val="26"/>
        </w:rPr>
        <w:t xml:space="preserve"> </w:t>
      </w:r>
      <w:r w:rsidRPr="00CA456A">
        <w:rPr>
          <w:sz w:val="26"/>
          <w:szCs w:val="26"/>
        </w:rPr>
        <w:t>procedures differentiate between interfaces and Scheduled Lines. The NYISO</w:t>
      </w:r>
      <w:r>
        <w:rPr>
          <w:sz w:val="26"/>
          <w:szCs w:val="26"/>
        </w:rPr>
        <w:t xml:space="preserve"> </w:t>
      </w:r>
      <w:r w:rsidRPr="00CA456A">
        <w:rPr>
          <w:sz w:val="26"/>
          <w:szCs w:val="26"/>
        </w:rPr>
        <w:t>Transmission Services Manual (section 7.1.10) allows for pre-scheduling of external</w:t>
      </w:r>
      <w:r>
        <w:rPr>
          <w:sz w:val="26"/>
          <w:szCs w:val="26"/>
        </w:rPr>
        <w:t xml:space="preserve"> </w:t>
      </w:r>
      <w:r w:rsidRPr="00CA456A">
        <w:rPr>
          <w:sz w:val="26"/>
          <w:szCs w:val="26"/>
        </w:rPr>
        <w:t>transactions up to 18 months in advance.</w:t>
      </w:r>
    </w:p>
    <w:p w:rsidR="00CA456A" w:rsidRDefault="00CA456A" w:rsidP="00CA456A">
      <w:pPr>
        <w:pStyle w:val="Default"/>
        <w:rPr>
          <w:sz w:val="26"/>
          <w:szCs w:val="26"/>
        </w:rPr>
      </w:pPr>
      <w:r>
        <w:rPr>
          <w:sz w:val="26"/>
          <w:szCs w:val="26"/>
        </w:rPr>
        <w:t>…</w:t>
      </w:r>
    </w:p>
    <w:p w:rsidR="00C749BD" w:rsidRDefault="00C749BD" w:rsidP="00CA456A">
      <w:pPr>
        <w:pStyle w:val="Default"/>
        <w:rPr>
          <w:sz w:val="26"/>
          <w:szCs w:val="26"/>
        </w:rPr>
      </w:pPr>
    </w:p>
    <w:p w:rsidR="00C749BD" w:rsidRPr="00C749BD" w:rsidRDefault="00C749BD" w:rsidP="00C749BD">
      <w:pPr>
        <w:pStyle w:val="Default"/>
        <w:rPr>
          <w:sz w:val="26"/>
          <w:szCs w:val="26"/>
        </w:rPr>
      </w:pPr>
      <w:r>
        <w:rPr>
          <w:sz w:val="26"/>
          <w:szCs w:val="26"/>
        </w:rPr>
        <w:t xml:space="preserve">P </w:t>
      </w:r>
      <w:r w:rsidRPr="00C749BD">
        <w:rPr>
          <w:sz w:val="26"/>
          <w:szCs w:val="26"/>
        </w:rPr>
        <w:t>26. Moreover, to the extent needed for compliance with MOD-001-1, NYISO should</w:t>
      </w:r>
      <w:r>
        <w:rPr>
          <w:sz w:val="26"/>
          <w:szCs w:val="26"/>
        </w:rPr>
        <w:t xml:space="preserve"> </w:t>
      </w:r>
      <w:r w:rsidRPr="00C749BD">
        <w:rPr>
          <w:sz w:val="26"/>
          <w:szCs w:val="26"/>
        </w:rPr>
        <w:t>account for the impacts of its internal congestion on its external ATC Paths as accurately</w:t>
      </w:r>
      <w:r>
        <w:rPr>
          <w:sz w:val="26"/>
          <w:szCs w:val="26"/>
        </w:rPr>
        <w:t xml:space="preserve"> </w:t>
      </w:r>
      <w:r w:rsidRPr="00C749BD">
        <w:rPr>
          <w:sz w:val="26"/>
          <w:szCs w:val="26"/>
        </w:rPr>
        <w:t>as possible. Thus, to the extent that NYISO would have to calculate internal flows in</w:t>
      </w:r>
      <w:r>
        <w:rPr>
          <w:sz w:val="26"/>
          <w:szCs w:val="26"/>
        </w:rPr>
        <w:t xml:space="preserve"> </w:t>
      </w:r>
      <w:r w:rsidRPr="00C749BD">
        <w:rPr>
          <w:sz w:val="26"/>
          <w:szCs w:val="26"/>
        </w:rPr>
        <w:t>order to fulfill its obligation to calculate external flows, it would be required to do so.</w:t>
      </w:r>
      <w:r>
        <w:rPr>
          <w:sz w:val="26"/>
          <w:szCs w:val="26"/>
        </w:rPr>
        <w:t xml:space="preserve"> </w:t>
      </w:r>
      <w:r w:rsidRPr="00C749BD">
        <w:rPr>
          <w:sz w:val="26"/>
          <w:szCs w:val="26"/>
        </w:rPr>
        <w:t>The NYISO external ATC calculations should be performed with models that depict</w:t>
      </w:r>
      <w:r>
        <w:rPr>
          <w:sz w:val="26"/>
          <w:szCs w:val="26"/>
        </w:rPr>
        <w:t xml:space="preserve"> </w:t>
      </w:r>
      <w:r w:rsidRPr="00C749BD">
        <w:rPr>
          <w:sz w:val="26"/>
          <w:szCs w:val="26"/>
        </w:rPr>
        <w:t>system conditions consistent with the expected internal flows for appropriate timeframes.</w:t>
      </w:r>
      <w:r>
        <w:rPr>
          <w:sz w:val="26"/>
          <w:szCs w:val="26"/>
        </w:rPr>
        <w:t xml:space="preserve"> </w:t>
      </w:r>
      <w:r w:rsidRPr="00C749BD">
        <w:rPr>
          <w:sz w:val="26"/>
          <w:szCs w:val="26"/>
        </w:rPr>
        <w:t>As we stated when approving MOD-001-1 and directing the ERO to develop</w:t>
      </w:r>
      <w:r>
        <w:rPr>
          <w:sz w:val="26"/>
          <w:szCs w:val="26"/>
        </w:rPr>
        <w:t xml:space="preserve"> </w:t>
      </w:r>
      <w:r w:rsidRPr="00C749BD">
        <w:rPr>
          <w:sz w:val="26"/>
          <w:szCs w:val="26"/>
        </w:rPr>
        <w:t>benchmarking requirements, “dispatch models should reflect technical analysis,. . . . If …a transmission service provider’s calculations consistently under- or overestimate</w:t>
      </w:r>
      <w:r>
        <w:rPr>
          <w:sz w:val="26"/>
          <w:szCs w:val="26"/>
        </w:rPr>
        <w:t xml:space="preserve"> available transfer or </w:t>
      </w:r>
      <w:r w:rsidRPr="00C749BD">
        <w:rPr>
          <w:sz w:val="26"/>
          <w:szCs w:val="26"/>
        </w:rPr>
        <w:t>flowgate capability, adjacent systems will be unable to effectively</w:t>
      </w:r>
      <w:r>
        <w:rPr>
          <w:sz w:val="26"/>
          <w:szCs w:val="26"/>
        </w:rPr>
        <w:t xml:space="preserve"> </w:t>
      </w:r>
      <w:r w:rsidRPr="00C749BD">
        <w:rPr>
          <w:sz w:val="26"/>
          <w:szCs w:val="26"/>
        </w:rPr>
        <w:t>model their own transfer or flowgate capabilities, thus resulting in a degradation to the</w:t>
      </w:r>
      <w:r>
        <w:rPr>
          <w:sz w:val="26"/>
          <w:szCs w:val="26"/>
        </w:rPr>
        <w:t xml:space="preserve"> </w:t>
      </w:r>
      <w:r w:rsidRPr="00C749BD">
        <w:rPr>
          <w:sz w:val="26"/>
          <w:szCs w:val="26"/>
        </w:rPr>
        <w:t>reliable operat</w:t>
      </w:r>
      <w:r>
        <w:rPr>
          <w:sz w:val="26"/>
          <w:szCs w:val="26"/>
        </w:rPr>
        <w:t>ion of the Bulk-Power System.” [Footnote omitted.]</w:t>
      </w:r>
    </w:p>
    <w:p w:rsidR="00C749BD" w:rsidRDefault="00C749BD" w:rsidP="00C749BD">
      <w:pPr>
        <w:pStyle w:val="Default"/>
        <w:rPr>
          <w:sz w:val="26"/>
          <w:szCs w:val="26"/>
        </w:rPr>
      </w:pPr>
    </w:p>
    <w:p w:rsidR="00C749BD" w:rsidRPr="00C749BD" w:rsidRDefault="00C749BD" w:rsidP="00C749BD">
      <w:pPr>
        <w:pStyle w:val="Default"/>
        <w:rPr>
          <w:sz w:val="26"/>
          <w:szCs w:val="26"/>
        </w:rPr>
      </w:pPr>
      <w:r>
        <w:rPr>
          <w:sz w:val="26"/>
          <w:szCs w:val="26"/>
        </w:rPr>
        <w:t xml:space="preserve">P </w:t>
      </w:r>
      <w:r w:rsidRPr="00C749BD">
        <w:rPr>
          <w:sz w:val="26"/>
          <w:szCs w:val="26"/>
        </w:rPr>
        <w:t>27. Accordingly, for the reasons stated above, we affirm NERC’s interpretation of</w:t>
      </w:r>
    </w:p>
    <w:p w:rsidR="00C749BD" w:rsidRDefault="00C749BD" w:rsidP="00C749BD">
      <w:pPr>
        <w:pStyle w:val="Default"/>
        <w:rPr>
          <w:sz w:val="26"/>
          <w:szCs w:val="26"/>
        </w:rPr>
      </w:pPr>
      <w:r w:rsidRPr="00C749BD">
        <w:rPr>
          <w:sz w:val="26"/>
          <w:szCs w:val="26"/>
        </w:rPr>
        <w:t>Reliability Standard MOD-001-1.</w:t>
      </w:r>
    </w:p>
    <w:p w:rsidR="00C749BD" w:rsidRDefault="00C749BD" w:rsidP="00C749BD">
      <w:pPr>
        <w:pStyle w:val="Default"/>
        <w:rPr>
          <w:sz w:val="26"/>
          <w:szCs w:val="26"/>
        </w:rPr>
      </w:pPr>
    </w:p>
    <w:p w:rsidR="009D005B" w:rsidRDefault="009D005B" w:rsidP="00C749BD">
      <w:pPr>
        <w:pStyle w:val="Default"/>
        <w:rPr>
          <w:sz w:val="26"/>
          <w:szCs w:val="26"/>
        </w:rPr>
      </w:pPr>
    </w:p>
    <w:p w:rsidR="009D005B" w:rsidRDefault="009D005B" w:rsidP="00C749BD">
      <w:pPr>
        <w:pStyle w:val="Default"/>
        <w:rPr>
          <w:sz w:val="26"/>
          <w:szCs w:val="26"/>
        </w:rPr>
      </w:pPr>
    </w:p>
    <w:p w:rsidR="009D005B" w:rsidRDefault="009D005B" w:rsidP="00C749BD">
      <w:pPr>
        <w:pStyle w:val="Default"/>
        <w:rPr>
          <w:sz w:val="26"/>
          <w:szCs w:val="26"/>
        </w:rPr>
      </w:pPr>
    </w:p>
    <w:p w:rsidR="009D005B" w:rsidRDefault="009D005B" w:rsidP="00C749BD">
      <w:pPr>
        <w:pStyle w:val="Default"/>
        <w:rPr>
          <w:sz w:val="26"/>
          <w:szCs w:val="26"/>
        </w:rPr>
      </w:pPr>
    </w:p>
    <w:p w:rsidR="009D005B" w:rsidRDefault="009D005B" w:rsidP="00C749BD">
      <w:pPr>
        <w:pStyle w:val="Default"/>
        <w:rPr>
          <w:sz w:val="26"/>
          <w:szCs w:val="26"/>
        </w:rPr>
      </w:pPr>
    </w:p>
    <w:p w:rsidR="00CA456A" w:rsidRPr="002361EE" w:rsidRDefault="00CA456A" w:rsidP="00CA456A">
      <w:pPr>
        <w:pStyle w:val="Default"/>
        <w:rPr>
          <w:sz w:val="26"/>
          <w:szCs w:val="26"/>
        </w:rPr>
      </w:pPr>
    </w:p>
    <w:p w:rsidR="001B4BC9" w:rsidRDefault="001B4BC9" w:rsidP="004C005C">
      <w:pPr>
        <w:widowControl w:val="0"/>
        <w:tabs>
          <w:tab w:val="left" w:pos="60"/>
        </w:tabs>
        <w:spacing w:line="200" w:lineRule="exact"/>
        <w:rPr>
          <w:rFonts w:ascii="Times New Roman" w:hAnsi="Times New Roman" w:cs="Times New Roman"/>
          <w:sz w:val="24"/>
          <w:szCs w:val="24"/>
        </w:rPr>
      </w:pPr>
    </w:p>
    <w:p w:rsidR="001B4BC9" w:rsidRPr="0009057C" w:rsidRDefault="001B4BC9" w:rsidP="001B4BC9">
      <w:pPr>
        <w:rPr>
          <w:rFonts w:ascii="Times New Roman" w:hAnsi="Times New Roman" w:cs="Times New Roman"/>
          <w:b/>
          <w:sz w:val="24"/>
          <w:szCs w:val="24"/>
        </w:rPr>
      </w:pPr>
      <w:r>
        <w:rPr>
          <w:rFonts w:ascii="Times New Roman" w:hAnsi="Times New Roman" w:cs="Times New Roman"/>
          <w:b/>
          <w:sz w:val="24"/>
          <w:szCs w:val="24"/>
        </w:rPr>
        <w:t>Revision History</w:t>
      </w:r>
    </w:p>
    <w:p w:rsidR="001B4BC9" w:rsidRDefault="001B4BC9" w:rsidP="001B4BC9">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1980"/>
        <w:gridCol w:w="6138"/>
      </w:tblGrid>
      <w:tr w:rsidR="001B4BC9" w:rsidRPr="00B2607F" w:rsidTr="00A12D07">
        <w:tc>
          <w:tcPr>
            <w:tcW w:w="1016" w:type="dxa"/>
            <w:shd w:val="pct10" w:color="auto" w:fill="auto"/>
          </w:tcPr>
          <w:p w:rsidR="001B4BC9" w:rsidRPr="00B2607F" w:rsidRDefault="001B4BC9" w:rsidP="006A3A5D">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1B4BC9" w:rsidRPr="00B2607F" w:rsidRDefault="001B4BC9" w:rsidP="006A3A5D">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rsidR="001B4BC9" w:rsidRPr="00B2607F" w:rsidRDefault="001B4BC9" w:rsidP="006A3A5D">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138" w:type="dxa"/>
            <w:shd w:val="pct10" w:color="auto" w:fill="auto"/>
          </w:tcPr>
          <w:p w:rsidR="001B4BC9" w:rsidRPr="00B2607F" w:rsidRDefault="001B4BC9" w:rsidP="006A3A5D">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1B4BC9" w:rsidRPr="00B2607F" w:rsidTr="00A12D07">
        <w:tc>
          <w:tcPr>
            <w:tcW w:w="1016" w:type="dxa"/>
          </w:tcPr>
          <w:p w:rsidR="001B4BC9" w:rsidRPr="00B2607F" w:rsidRDefault="001B4BC9" w:rsidP="006A3A5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1B4BC9" w:rsidRPr="00B2607F" w:rsidRDefault="001B4BC9" w:rsidP="006A3A5D">
            <w:pPr>
              <w:rPr>
                <w:rFonts w:ascii="Times New Roman" w:hAnsi="Times New Roman" w:cs="Times New Roman"/>
                <w:sz w:val="24"/>
                <w:szCs w:val="24"/>
              </w:rPr>
            </w:pPr>
            <w:r>
              <w:rPr>
                <w:rFonts w:ascii="Times New Roman" w:hAnsi="Times New Roman" w:cs="Times New Roman"/>
                <w:sz w:val="24"/>
                <w:szCs w:val="24"/>
              </w:rPr>
              <w:t>July 2010</w:t>
            </w:r>
          </w:p>
        </w:tc>
        <w:tc>
          <w:tcPr>
            <w:tcW w:w="1980" w:type="dxa"/>
          </w:tcPr>
          <w:p w:rsidR="001B4BC9" w:rsidRPr="00B2607F" w:rsidRDefault="001B4BC9" w:rsidP="006A3A5D">
            <w:pPr>
              <w:rPr>
                <w:rFonts w:ascii="Times New Roman" w:hAnsi="Times New Roman" w:cs="Times New Roman"/>
                <w:sz w:val="24"/>
                <w:szCs w:val="24"/>
              </w:rPr>
            </w:pPr>
            <w:r>
              <w:rPr>
                <w:rFonts w:ascii="Times New Roman" w:hAnsi="Times New Roman" w:cs="Times New Roman"/>
                <w:sz w:val="24"/>
                <w:szCs w:val="24"/>
              </w:rPr>
              <w:t xml:space="preserve">RSAW Working Group </w:t>
            </w:r>
          </w:p>
        </w:tc>
        <w:tc>
          <w:tcPr>
            <w:tcW w:w="6138" w:type="dxa"/>
          </w:tcPr>
          <w:p w:rsidR="001B4BC9" w:rsidRPr="00B2607F" w:rsidRDefault="001B4BC9" w:rsidP="006A3A5D">
            <w:pPr>
              <w:rPr>
                <w:rFonts w:ascii="Times New Roman" w:hAnsi="Times New Roman" w:cs="Times New Roman"/>
                <w:sz w:val="24"/>
                <w:szCs w:val="24"/>
              </w:rPr>
            </w:pPr>
            <w:r>
              <w:rPr>
                <w:rFonts w:ascii="Times New Roman" w:hAnsi="Times New Roman" w:cs="Times New Roman"/>
                <w:sz w:val="24"/>
                <w:szCs w:val="24"/>
              </w:rPr>
              <w:t>New Document</w:t>
            </w:r>
            <w:r w:rsidR="00E26A92">
              <w:rPr>
                <w:rFonts w:ascii="Times New Roman" w:hAnsi="Times New Roman" w:cs="Times New Roman"/>
                <w:sz w:val="24"/>
                <w:szCs w:val="24"/>
              </w:rPr>
              <w:t>.</w:t>
            </w:r>
          </w:p>
        </w:tc>
      </w:tr>
      <w:tr w:rsidR="001B4BC9" w:rsidRPr="00B2607F" w:rsidTr="00A12D07">
        <w:tc>
          <w:tcPr>
            <w:tcW w:w="1016" w:type="dxa"/>
          </w:tcPr>
          <w:p w:rsidR="001B4BC9" w:rsidRPr="00B2607F" w:rsidRDefault="008F391F" w:rsidP="006A3A5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1B4BC9" w:rsidRPr="00B2607F" w:rsidRDefault="008F391F" w:rsidP="006A3A5D">
            <w:pPr>
              <w:rPr>
                <w:rFonts w:ascii="Times New Roman" w:hAnsi="Times New Roman" w:cs="Times New Roman"/>
                <w:sz w:val="24"/>
                <w:szCs w:val="24"/>
              </w:rPr>
            </w:pPr>
            <w:r>
              <w:rPr>
                <w:rFonts w:ascii="Times New Roman" w:hAnsi="Times New Roman" w:cs="Times New Roman"/>
                <w:sz w:val="24"/>
                <w:szCs w:val="24"/>
              </w:rPr>
              <w:t>September 2010</w:t>
            </w:r>
          </w:p>
        </w:tc>
        <w:tc>
          <w:tcPr>
            <w:tcW w:w="1980" w:type="dxa"/>
          </w:tcPr>
          <w:p w:rsidR="001B4BC9" w:rsidRPr="00B2607F" w:rsidRDefault="008F391F" w:rsidP="006A3A5D">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6138" w:type="dxa"/>
          </w:tcPr>
          <w:p w:rsidR="001B4BC9" w:rsidRPr="00B2607F" w:rsidRDefault="008F391F" w:rsidP="006A3A5D">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1B4BC9" w:rsidRPr="00B2607F" w:rsidTr="00A12D07">
        <w:tc>
          <w:tcPr>
            <w:tcW w:w="1016" w:type="dxa"/>
          </w:tcPr>
          <w:p w:rsidR="001B4BC9" w:rsidRPr="00B2607F" w:rsidRDefault="0065170E" w:rsidP="006A3A5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1B4BC9" w:rsidRPr="00B2607F" w:rsidRDefault="0065170E" w:rsidP="006A3A5D">
            <w:pPr>
              <w:rPr>
                <w:rFonts w:ascii="Times New Roman" w:hAnsi="Times New Roman" w:cs="Times New Roman"/>
                <w:sz w:val="24"/>
                <w:szCs w:val="24"/>
              </w:rPr>
            </w:pPr>
            <w:r>
              <w:rPr>
                <w:rFonts w:ascii="Times New Roman" w:hAnsi="Times New Roman" w:cs="Times New Roman"/>
                <w:sz w:val="24"/>
                <w:szCs w:val="24"/>
              </w:rPr>
              <w:t>Dec</w:t>
            </w:r>
            <w:r w:rsidR="00E26A92">
              <w:rPr>
                <w:rFonts w:ascii="Times New Roman" w:hAnsi="Times New Roman" w:cs="Times New Roman"/>
                <w:sz w:val="24"/>
                <w:szCs w:val="24"/>
              </w:rPr>
              <w:t>ember</w:t>
            </w:r>
            <w:r>
              <w:rPr>
                <w:rFonts w:ascii="Times New Roman" w:hAnsi="Times New Roman" w:cs="Times New Roman"/>
                <w:sz w:val="24"/>
                <w:szCs w:val="24"/>
              </w:rPr>
              <w:t xml:space="preserve"> 2010</w:t>
            </w:r>
          </w:p>
        </w:tc>
        <w:tc>
          <w:tcPr>
            <w:tcW w:w="1980" w:type="dxa"/>
          </w:tcPr>
          <w:p w:rsidR="001B4BC9" w:rsidRPr="00B2607F" w:rsidRDefault="0065170E" w:rsidP="006A3A5D">
            <w:pPr>
              <w:rPr>
                <w:rFonts w:ascii="Times New Roman" w:hAnsi="Times New Roman" w:cs="Times New Roman"/>
                <w:sz w:val="24"/>
                <w:szCs w:val="24"/>
              </w:rPr>
            </w:pPr>
            <w:r>
              <w:rPr>
                <w:rFonts w:ascii="Times New Roman" w:hAnsi="Times New Roman" w:cs="Times New Roman"/>
                <w:sz w:val="24"/>
                <w:szCs w:val="24"/>
              </w:rPr>
              <w:t>QRSAW WG</w:t>
            </w:r>
          </w:p>
        </w:tc>
        <w:tc>
          <w:tcPr>
            <w:tcW w:w="6138" w:type="dxa"/>
          </w:tcPr>
          <w:p w:rsidR="001B4BC9" w:rsidRPr="00B2607F" w:rsidRDefault="0065170E" w:rsidP="006A3A5D">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E26A92">
              <w:rPr>
                <w:rFonts w:ascii="Times New Roman" w:hAnsi="Times New Roman" w:cs="Times New Roman"/>
                <w:sz w:val="24"/>
                <w:szCs w:val="24"/>
              </w:rPr>
              <w:t>.</w:t>
            </w:r>
          </w:p>
        </w:tc>
      </w:tr>
      <w:tr w:rsidR="00E26A92" w:rsidTr="00A12D07">
        <w:tc>
          <w:tcPr>
            <w:tcW w:w="1016" w:type="dxa"/>
            <w:tcBorders>
              <w:top w:val="single" w:sz="4" w:space="0" w:color="000000"/>
              <w:left w:val="single" w:sz="4" w:space="0" w:color="000000"/>
              <w:bottom w:val="single" w:sz="4" w:space="0" w:color="000000"/>
              <w:right w:val="single" w:sz="4" w:space="0" w:color="000000"/>
            </w:tcBorders>
          </w:tcPr>
          <w:p w:rsidR="00E26A92" w:rsidRDefault="00E26A92" w:rsidP="008B4DA1">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E26A92" w:rsidRDefault="00E26A92" w:rsidP="008B4DA1">
            <w:pPr>
              <w:rPr>
                <w:rFonts w:ascii="Times New Roman" w:hAnsi="Times New Roman" w:cs="Times New Roman"/>
                <w:sz w:val="24"/>
                <w:szCs w:val="24"/>
              </w:rPr>
            </w:pPr>
            <w:r>
              <w:rPr>
                <w:rFonts w:ascii="Times New Roman" w:hAnsi="Times New Roman" w:cs="Times New Roman"/>
                <w:sz w:val="24"/>
                <w:szCs w:val="24"/>
              </w:rPr>
              <w:t>January 2011</w:t>
            </w:r>
          </w:p>
        </w:tc>
        <w:tc>
          <w:tcPr>
            <w:tcW w:w="1980" w:type="dxa"/>
            <w:tcBorders>
              <w:top w:val="single" w:sz="4" w:space="0" w:color="000000"/>
              <w:left w:val="single" w:sz="4" w:space="0" w:color="000000"/>
              <w:bottom w:val="single" w:sz="4" w:space="0" w:color="000000"/>
              <w:right w:val="single" w:sz="4" w:space="0" w:color="000000"/>
            </w:tcBorders>
          </w:tcPr>
          <w:p w:rsidR="00E26A92" w:rsidRDefault="00E26A92" w:rsidP="008B4DA1">
            <w:pPr>
              <w:rPr>
                <w:rFonts w:ascii="Times New Roman" w:hAnsi="Times New Roman" w:cs="Times New Roman"/>
                <w:sz w:val="24"/>
                <w:szCs w:val="24"/>
              </w:rPr>
            </w:pPr>
            <w:r>
              <w:rPr>
                <w:rFonts w:ascii="Times New Roman" w:hAnsi="Times New Roman" w:cs="Times New Roman"/>
                <w:sz w:val="24"/>
                <w:szCs w:val="24"/>
              </w:rPr>
              <w:t>Craig Struck</w:t>
            </w:r>
          </w:p>
        </w:tc>
        <w:tc>
          <w:tcPr>
            <w:tcW w:w="6138" w:type="dxa"/>
            <w:tcBorders>
              <w:top w:val="single" w:sz="4" w:space="0" w:color="000000"/>
              <w:left w:val="single" w:sz="4" w:space="0" w:color="000000"/>
              <w:bottom w:val="single" w:sz="4" w:space="0" w:color="000000"/>
              <w:right w:val="single" w:sz="4" w:space="0" w:color="000000"/>
            </w:tcBorders>
          </w:tcPr>
          <w:p w:rsidR="00E26A92" w:rsidRDefault="00E26A92" w:rsidP="008B4DA1">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1B4BC9" w:rsidRPr="00B2607F" w:rsidTr="00A12D07">
        <w:tc>
          <w:tcPr>
            <w:tcW w:w="1016" w:type="dxa"/>
          </w:tcPr>
          <w:p w:rsidR="001B4BC9" w:rsidRPr="00B2607F" w:rsidRDefault="008A6A9E" w:rsidP="006A3A5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1B4BC9" w:rsidRPr="00B2607F" w:rsidRDefault="00A12D07" w:rsidP="006A3A5D">
            <w:pPr>
              <w:rPr>
                <w:rFonts w:ascii="Times New Roman" w:hAnsi="Times New Roman" w:cs="Times New Roman"/>
                <w:sz w:val="24"/>
                <w:szCs w:val="24"/>
              </w:rPr>
            </w:pPr>
            <w:r>
              <w:rPr>
                <w:rFonts w:ascii="Times New Roman" w:hAnsi="Times New Roman" w:cs="Times New Roman"/>
                <w:sz w:val="24"/>
                <w:szCs w:val="24"/>
              </w:rPr>
              <w:t xml:space="preserve">September </w:t>
            </w:r>
            <w:r w:rsidR="008A6A9E">
              <w:rPr>
                <w:rFonts w:ascii="Times New Roman" w:hAnsi="Times New Roman" w:cs="Times New Roman"/>
                <w:sz w:val="24"/>
                <w:szCs w:val="24"/>
              </w:rPr>
              <w:t xml:space="preserve"> 2011</w:t>
            </w:r>
          </w:p>
        </w:tc>
        <w:tc>
          <w:tcPr>
            <w:tcW w:w="1980" w:type="dxa"/>
          </w:tcPr>
          <w:p w:rsidR="001B4BC9" w:rsidRPr="00B2607F" w:rsidRDefault="008A6A9E" w:rsidP="006A3A5D">
            <w:pPr>
              <w:rPr>
                <w:rFonts w:ascii="Times New Roman" w:hAnsi="Times New Roman" w:cs="Times New Roman"/>
                <w:sz w:val="24"/>
                <w:szCs w:val="24"/>
              </w:rPr>
            </w:pPr>
            <w:r>
              <w:rPr>
                <w:rFonts w:ascii="Times New Roman" w:hAnsi="Times New Roman" w:cs="Times New Roman"/>
                <w:sz w:val="24"/>
                <w:szCs w:val="24"/>
              </w:rPr>
              <w:t>QRSAW WG</w:t>
            </w:r>
          </w:p>
        </w:tc>
        <w:tc>
          <w:tcPr>
            <w:tcW w:w="6138" w:type="dxa"/>
          </w:tcPr>
          <w:p w:rsidR="001B4BC9" w:rsidRPr="00B2607F" w:rsidRDefault="005947B2" w:rsidP="006A3A5D">
            <w:pPr>
              <w:rPr>
                <w:rFonts w:ascii="Times New Roman" w:hAnsi="Times New Roman" w:cs="Times New Roman"/>
                <w:sz w:val="24"/>
                <w:szCs w:val="24"/>
              </w:rPr>
            </w:pPr>
            <w:r>
              <w:rPr>
                <w:rFonts w:ascii="Times New Roman" w:hAnsi="Times New Roman" w:cs="Times New Roman"/>
                <w:sz w:val="24"/>
                <w:szCs w:val="24"/>
              </w:rPr>
              <w:t>Interpretation of R2 and R8 added to Standard</w:t>
            </w:r>
          </w:p>
        </w:tc>
      </w:tr>
      <w:tr w:rsidR="001B4BC9" w:rsidRPr="00B2607F" w:rsidTr="00A12D07">
        <w:tc>
          <w:tcPr>
            <w:tcW w:w="1016" w:type="dxa"/>
          </w:tcPr>
          <w:p w:rsidR="001B4BC9" w:rsidRPr="00B2607F" w:rsidRDefault="00BA1198" w:rsidP="006A3A5D">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1B4BC9" w:rsidRPr="00B2607F" w:rsidRDefault="002361EE" w:rsidP="006A3A5D">
            <w:pPr>
              <w:rPr>
                <w:rFonts w:ascii="Times New Roman" w:hAnsi="Times New Roman" w:cs="Times New Roman"/>
                <w:sz w:val="24"/>
                <w:szCs w:val="24"/>
              </w:rPr>
            </w:pPr>
            <w:r>
              <w:rPr>
                <w:rFonts w:ascii="Times New Roman" w:hAnsi="Times New Roman" w:cs="Times New Roman"/>
                <w:sz w:val="24"/>
                <w:szCs w:val="24"/>
              </w:rPr>
              <w:t>October 2011</w:t>
            </w:r>
          </w:p>
        </w:tc>
        <w:tc>
          <w:tcPr>
            <w:tcW w:w="1980" w:type="dxa"/>
          </w:tcPr>
          <w:p w:rsidR="001B4BC9" w:rsidRPr="00B2607F" w:rsidRDefault="002361EE" w:rsidP="006A3A5D">
            <w:pPr>
              <w:rPr>
                <w:rFonts w:ascii="Times New Roman" w:hAnsi="Times New Roman" w:cs="Times New Roman"/>
                <w:sz w:val="24"/>
                <w:szCs w:val="24"/>
              </w:rPr>
            </w:pPr>
            <w:r>
              <w:rPr>
                <w:rFonts w:ascii="Times New Roman" w:hAnsi="Times New Roman" w:cs="Times New Roman"/>
                <w:sz w:val="24"/>
                <w:szCs w:val="24"/>
              </w:rPr>
              <w:t>NERC Legal</w:t>
            </w:r>
          </w:p>
        </w:tc>
        <w:tc>
          <w:tcPr>
            <w:tcW w:w="6138" w:type="dxa"/>
          </w:tcPr>
          <w:p w:rsidR="001B4BC9" w:rsidRPr="00B2607F" w:rsidRDefault="002361EE" w:rsidP="006A3A5D">
            <w:pPr>
              <w:rPr>
                <w:rFonts w:ascii="Times New Roman" w:hAnsi="Times New Roman" w:cs="Times New Roman"/>
                <w:sz w:val="24"/>
                <w:szCs w:val="24"/>
              </w:rPr>
            </w:pPr>
            <w:r>
              <w:rPr>
                <w:rFonts w:ascii="Times New Roman" w:hAnsi="Times New Roman" w:cs="Times New Roman"/>
                <w:sz w:val="24"/>
                <w:szCs w:val="24"/>
              </w:rPr>
              <w:t xml:space="preserve">Updated </w:t>
            </w:r>
            <w:r w:rsidRPr="002361EE">
              <w:rPr>
                <w:rFonts w:ascii="Times New Roman" w:hAnsi="Times New Roman" w:cs="Times New Roman"/>
                <w:sz w:val="24"/>
                <w:szCs w:val="24"/>
              </w:rPr>
              <w:t xml:space="preserve">Excerpts from FERC Orders </w:t>
            </w:r>
            <w:r w:rsidR="00BA1198">
              <w:rPr>
                <w:rFonts w:ascii="Times New Roman" w:hAnsi="Times New Roman" w:cs="Times New Roman"/>
                <w:sz w:val="24"/>
                <w:szCs w:val="24"/>
              </w:rPr>
              <w:t>from August 2010 through and including October 5, 2011.</w:t>
            </w:r>
          </w:p>
        </w:tc>
      </w:tr>
      <w:tr w:rsidR="001B4BC9" w:rsidRPr="00B2607F" w:rsidTr="00A12D07">
        <w:tc>
          <w:tcPr>
            <w:tcW w:w="1016" w:type="dxa"/>
          </w:tcPr>
          <w:p w:rsidR="001B4BC9" w:rsidRPr="00B2607F" w:rsidRDefault="001B4BC9" w:rsidP="006A3A5D">
            <w:pPr>
              <w:jc w:val="center"/>
              <w:rPr>
                <w:rFonts w:ascii="Times New Roman" w:hAnsi="Times New Roman" w:cs="Times New Roman"/>
                <w:sz w:val="24"/>
                <w:szCs w:val="24"/>
              </w:rPr>
            </w:pPr>
          </w:p>
        </w:tc>
        <w:tc>
          <w:tcPr>
            <w:tcW w:w="1882" w:type="dxa"/>
          </w:tcPr>
          <w:p w:rsidR="001B4BC9" w:rsidRPr="00B2607F" w:rsidRDefault="001B4BC9" w:rsidP="006A3A5D">
            <w:pPr>
              <w:rPr>
                <w:rFonts w:ascii="Times New Roman" w:hAnsi="Times New Roman" w:cs="Times New Roman"/>
                <w:sz w:val="24"/>
                <w:szCs w:val="24"/>
              </w:rPr>
            </w:pPr>
          </w:p>
        </w:tc>
        <w:tc>
          <w:tcPr>
            <w:tcW w:w="1980" w:type="dxa"/>
          </w:tcPr>
          <w:p w:rsidR="001B4BC9" w:rsidRPr="00B2607F" w:rsidRDefault="001B4BC9" w:rsidP="006A3A5D">
            <w:pPr>
              <w:rPr>
                <w:rFonts w:ascii="Times New Roman" w:hAnsi="Times New Roman" w:cs="Times New Roman"/>
                <w:sz w:val="24"/>
                <w:szCs w:val="24"/>
              </w:rPr>
            </w:pPr>
          </w:p>
        </w:tc>
        <w:tc>
          <w:tcPr>
            <w:tcW w:w="6138" w:type="dxa"/>
          </w:tcPr>
          <w:p w:rsidR="001B4BC9" w:rsidRPr="00B2607F" w:rsidRDefault="001B4BC9" w:rsidP="006A3A5D">
            <w:pPr>
              <w:rPr>
                <w:rFonts w:ascii="Times New Roman" w:hAnsi="Times New Roman" w:cs="Times New Roman"/>
                <w:sz w:val="24"/>
                <w:szCs w:val="24"/>
              </w:rPr>
            </w:pPr>
          </w:p>
        </w:tc>
      </w:tr>
    </w:tbl>
    <w:p w:rsidR="001B4BC9" w:rsidRPr="004550E5" w:rsidRDefault="001B4BC9" w:rsidP="001B4BC9">
      <w:pPr>
        <w:widowControl w:val="0"/>
        <w:spacing w:line="244" w:lineRule="exact"/>
        <w:rPr>
          <w:rFonts w:ascii="Times New Roman" w:hAnsi="Times New Roman" w:cs="Times New Roman"/>
          <w:sz w:val="24"/>
          <w:szCs w:val="24"/>
        </w:rPr>
      </w:pPr>
    </w:p>
    <w:p w:rsidR="001B4BC9" w:rsidRPr="007B5AA7" w:rsidRDefault="001B4BC9" w:rsidP="004C005C">
      <w:pPr>
        <w:widowControl w:val="0"/>
        <w:tabs>
          <w:tab w:val="left" w:pos="60"/>
        </w:tabs>
        <w:spacing w:line="200" w:lineRule="exact"/>
        <w:rPr>
          <w:rFonts w:ascii="Times New Roman" w:hAnsi="Times New Roman" w:cs="Times New Roman"/>
          <w:sz w:val="24"/>
          <w:szCs w:val="24"/>
        </w:rPr>
      </w:pPr>
    </w:p>
    <w:sectPr w:rsidR="001B4BC9" w:rsidRPr="007B5AA7" w:rsidSect="006A745C">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4B" w:rsidRDefault="00EF104B">
      <w:r>
        <w:separator/>
      </w:r>
    </w:p>
    <w:p w:rsidR="00EF104B" w:rsidRDefault="00EF104B"/>
  </w:endnote>
  <w:endnote w:type="continuationSeparator" w:id="0">
    <w:p w:rsidR="00EF104B" w:rsidRDefault="00EF104B">
      <w:r>
        <w:continuationSeparator/>
      </w:r>
    </w:p>
    <w:p w:rsidR="00EF104B" w:rsidRDefault="00EF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E5" w:rsidRDefault="0034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E4" w:rsidRPr="00945D21" w:rsidRDefault="00A465E4"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A465E4" w:rsidRPr="00945D21" w:rsidRDefault="00A465E4"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A465E4" w:rsidRPr="00945D21" w:rsidRDefault="00A465E4"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A465E4" w:rsidRPr="00945D21" w:rsidRDefault="00A465E4"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A465E4" w:rsidRDefault="00A465E4"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A465E4" w:rsidRDefault="00A465E4"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RSAW_MOD-001-1a_2011_v1</w:t>
    </w:r>
  </w:p>
  <w:p w:rsidR="00A465E4" w:rsidRPr="00945D21" w:rsidRDefault="00A465E4"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September 2011</w:t>
    </w:r>
  </w:p>
  <w:p w:rsidR="00A465E4" w:rsidRPr="00945D21" w:rsidRDefault="00A465E4"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AA2650">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A465E4" w:rsidRDefault="00A465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E5" w:rsidRDefault="0034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4B" w:rsidRDefault="00EF104B">
      <w:r>
        <w:separator/>
      </w:r>
    </w:p>
    <w:p w:rsidR="00EF104B" w:rsidRDefault="00EF104B"/>
  </w:footnote>
  <w:footnote w:type="continuationSeparator" w:id="0">
    <w:p w:rsidR="00EF104B" w:rsidRDefault="00EF104B">
      <w:r>
        <w:continuationSeparator/>
      </w:r>
    </w:p>
    <w:p w:rsidR="00EF104B" w:rsidRDefault="00EF104B"/>
  </w:footnote>
  <w:footnote w:id="1">
    <w:p w:rsidR="00A465E4" w:rsidRDefault="00A465E4" w:rsidP="00873C3B">
      <w:pPr>
        <w:pStyle w:val="FootnoteText"/>
      </w:pPr>
      <w:r>
        <w:rPr>
          <w:rStyle w:val="FootnoteReference"/>
        </w:rPr>
        <w:footnoteRef/>
      </w:r>
      <w:r>
        <w:t xml:space="preserve"> All ATC Paths do not have to use the same methodology and no particular ATC Path must use the same methodology for all time periods.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E5" w:rsidRDefault="00344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E4" w:rsidRDefault="00A465E4">
    <w:pPr>
      <w:widowControl w:val="0"/>
      <w:spacing w:line="240" w:lineRule="exact"/>
      <w:rPr>
        <w:rFonts w:cs="Times New Roman"/>
      </w:rPr>
    </w:pPr>
  </w:p>
  <w:p w:rsidR="00A465E4" w:rsidRPr="006813F3" w:rsidRDefault="00A465E4" w:rsidP="00F24B5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A465E4" w:rsidRPr="00931D2B" w:rsidRDefault="003445E5" w:rsidP="00F24B53">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A465E4" w:rsidRDefault="00D0367C">
    <w:pPr>
      <w:widowControl w:val="0"/>
      <w:spacing w:before="66"/>
      <w:rPr>
        <w:rFonts w:cs="Times New Roman"/>
      </w:rPr>
    </w:pPr>
    <w:r w:rsidRPr="00376138">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A465E4" w:rsidRDefault="00A465E4">
    <w:pPr>
      <w:widowControl w:val="0"/>
      <w:spacing w:line="248" w:lineRule="exact"/>
      <w:rPr>
        <w:rFonts w:cs="Times New Roman"/>
      </w:rPr>
    </w:pPr>
  </w:p>
  <w:p w:rsidR="00A465E4" w:rsidRDefault="00A465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E5" w:rsidRDefault="00344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BA54CDE2">
      <w:numFmt w:val="bullet"/>
      <w:lvlText w:val="•"/>
      <w:lvlJc w:val="left"/>
      <w:pPr>
        <w:ind w:left="1440" w:hanging="360"/>
      </w:pPr>
      <w:rPr>
        <w:rFonts w:ascii="Arial" w:eastAsia="Times New Roman" w:hAnsi="Arial" w:cs="Arial" w:hint="default"/>
      </w:rPr>
    </w:lvl>
    <w:lvl w:ilvl="1" w:tplc="139807F2" w:tentative="1">
      <w:start w:val="1"/>
      <w:numFmt w:val="bullet"/>
      <w:lvlText w:val="o"/>
      <w:lvlJc w:val="left"/>
      <w:pPr>
        <w:ind w:left="2160" w:hanging="360"/>
      </w:pPr>
      <w:rPr>
        <w:rFonts w:ascii="Courier New" w:hAnsi="Courier New" w:cs="Courier New" w:hint="default"/>
      </w:rPr>
    </w:lvl>
    <w:lvl w:ilvl="2" w:tplc="210401D2" w:tentative="1">
      <w:start w:val="1"/>
      <w:numFmt w:val="bullet"/>
      <w:lvlText w:val=""/>
      <w:lvlJc w:val="left"/>
      <w:pPr>
        <w:ind w:left="2880" w:hanging="360"/>
      </w:pPr>
      <w:rPr>
        <w:rFonts w:ascii="Wingdings" w:hAnsi="Wingdings" w:hint="default"/>
      </w:rPr>
    </w:lvl>
    <w:lvl w:ilvl="3" w:tplc="242026A2" w:tentative="1">
      <w:start w:val="1"/>
      <w:numFmt w:val="bullet"/>
      <w:lvlText w:val=""/>
      <w:lvlJc w:val="left"/>
      <w:pPr>
        <w:ind w:left="3600" w:hanging="360"/>
      </w:pPr>
      <w:rPr>
        <w:rFonts w:ascii="Symbol" w:hAnsi="Symbol" w:hint="default"/>
      </w:rPr>
    </w:lvl>
    <w:lvl w:ilvl="4" w:tplc="664A93AC" w:tentative="1">
      <w:start w:val="1"/>
      <w:numFmt w:val="bullet"/>
      <w:lvlText w:val="o"/>
      <w:lvlJc w:val="left"/>
      <w:pPr>
        <w:ind w:left="4320" w:hanging="360"/>
      </w:pPr>
      <w:rPr>
        <w:rFonts w:ascii="Courier New" w:hAnsi="Courier New" w:cs="Courier New" w:hint="default"/>
      </w:rPr>
    </w:lvl>
    <w:lvl w:ilvl="5" w:tplc="9E7699E6" w:tentative="1">
      <w:start w:val="1"/>
      <w:numFmt w:val="bullet"/>
      <w:lvlText w:val=""/>
      <w:lvlJc w:val="left"/>
      <w:pPr>
        <w:ind w:left="5040" w:hanging="360"/>
      </w:pPr>
      <w:rPr>
        <w:rFonts w:ascii="Wingdings" w:hAnsi="Wingdings" w:hint="default"/>
      </w:rPr>
    </w:lvl>
    <w:lvl w:ilvl="6" w:tplc="765AE4BC" w:tentative="1">
      <w:start w:val="1"/>
      <w:numFmt w:val="bullet"/>
      <w:lvlText w:val=""/>
      <w:lvlJc w:val="left"/>
      <w:pPr>
        <w:ind w:left="5760" w:hanging="360"/>
      </w:pPr>
      <w:rPr>
        <w:rFonts w:ascii="Symbol" w:hAnsi="Symbol" w:hint="default"/>
      </w:rPr>
    </w:lvl>
    <w:lvl w:ilvl="7" w:tplc="9B2A3A06" w:tentative="1">
      <w:start w:val="1"/>
      <w:numFmt w:val="bullet"/>
      <w:lvlText w:val="o"/>
      <w:lvlJc w:val="left"/>
      <w:pPr>
        <w:ind w:left="6480" w:hanging="360"/>
      </w:pPr>
      <w:rPr>
        <w:rFonts w:ascii="Courier New" w:hAnsi="Courier New" w:cs="Courier New" w:hint="default"/>
      </w:rPr>
    </w:lvl>
    <w:lvl w:ilvl="8" w:tplc="5C327FA4" w:tentative="1">
      <w:start w:val="1"/>
      <w:numFmt w:val="bullet"/>
      <w:lvlText w:val=""/>
      <w:lvlJc w:val="left"/>
      <w:pPr>
        <w:ind w:left="7200" w:hanging="360"/>
      </w:pPr>
      <w:rPr>
        <w:rFonts w:ascii="Wingdings" w:hAnsi="Wingdings" w:hint="default"/>
      </w:rPr>
    </w:lvl>
  </w:abstractNum>
  <w:abstractNum w:abstractNumId="2">
    <w:nsid w:val="1BFE1E7A"/>
    <w:multiLevelType w:val="multilevel"/>
    <w:tmpl w:val="C96CEA88"/>
    <w:lvl w:ilvl="0">
      <w:start w:val="1"/>
      <w:numFmt w:val="bullet"/>
      <w:lvlText w:val=""/>
      <w:lvlJc w:val="left"/>
      <w:pPr>
        <w:tabs>
          <w:tab w:val="num" w:pos="1440"/>
        </w:tabs>
        <w:ind w:left="1440" w:hanging="360"/>
      </w:pPr>
      <w:rPr>
        <w:rFonts w:ascii="Wingdings" w:hAnsi="Wingdings" w:hint="default"/>
        <w:b/>
        <w:i w:val="0"/>
        <w:sz w:val="22"/>
        <w:szCs w:val="22"/>
      </w:rPr>
    </w:lvl>
    <w:lvl w:ilvl="1">
      <w:start w:val="1"/>
      <w:numFmt w:val="decimal"/>
      <w:lvlText w:val="R%1.%2."/>
      <w:lvlJc w:val="left"/>
      <w:pPr>
        <w:tabs>
          <w:tab w:val="num" w:pos="2448"/>
        </w:tabs>
        <w:ind w:left="2448" w:hanging="792"/>
      </w:pPr>
      <w:rPr>
        <w:rFonts w:ascii="Times New Roman" w:hAnsi="Times New Roman" w:hint="default"/>
        <w:b/>
        <w:i w:val="0"/>
        <w:sz w:val="22"/>
        <w:szCs w:val="22"/>
      </w:rPr>
    </w:lvl>
    <w:lvl w:ilvl="2">
      <w:start w:val="1"/>
      <w:numFmt w:val="decimal"/>
      <w:lvlText w:val="R%1.%2.%3."/>
      <w:lvlJc w:val="left"/>
      <w:pPr>
        <w:tabs>
          <w:tab w:val="num" w:pos="2448"/>
        </w:tabs>
        <w:ind w:left="3312" w:hanging="864"/>
      </w:pPr>
      <w:rPr>
        <w:rFonts w:ascii="Times New Roman" w:hAnsi="Times New Roman" w:hint="default"/>
        <w:b/>
        <w:i w:val="0"/>
        <w:sz w:val="22"/>
        <w:szCs w:val="22"/>
      </w:rPr>
    </w:lvl>
    <w:lvl w:ilvl="3">
      <w:start w:val="1"/>
      <w:numFmt w:val="decimal"/>
      <w:lvlText w:val="%1.%2.%3.%4."/>
      <w:lvlJc w:val="left"/>
      <w:pPr>
        <w:tabs>
          <w:tab w:val="num" w:pos="3600"/>
        </w:tabs>
        <w:ind w:left="3528" w:hanging="648"/>
      </w:pPr>
      <w:rPr>
        <w:rFonts w:hint="default"/>
        <w:b w:val="0"/>
        <w:i w:val="0"/>
      </w:rPr>
    </w:lvl>
    <w:lvl w:ilvl="4">
      <w:start w:val="1"/>
      <w:numFmt w:val="decimal"/>
      <w:lvlText w:val="%1.%2.%3.%4.%5"/>
      <w:lvlJc w:val="left"/>
      <w:pPr>
        <w:tabs>
          <w:tab w:val="num" w:pos="4032"/>
        </w:tabs>
        <w:ind w:left="4176" w:hanging="216"/>
      </w:pPr>
      <w:rPr>
        <w:rFonts w:ascii="Times New Roman" w:hAnsi="Times New Roman" w:hint="default"/>
        <w:b w:val="0"/>
        <w:i w:val="0"/>
        <w:sz w:val="22"/>
      </w:rPr>
    </w:lvl>
    <w:lvl w:ilvl="5">
      <w:start w:val="1"/>
      <w:numFmt w:val="bullet"/>
      <w:lvlText w:val=""/>
      <w:lvlJc w:val="left"/>
      <w:pPr>
        <w:tabs>
          <w:tab w:val="num" w:pos="2376"/>
        </w:tabs>
        <w:ind w:left="2376" w:hanging="360"/>
      </w:pPr>
      <w:rPr>
        <w:rFonts w:ascii="Symbol" w:hAnsi="Symbol"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
    <w:nsid w:val="1DAB7229"/>
    <w:multiLevelType w:val="multilevel"/>
    <w:tmpl w:val="41E2F02E"/>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9.%2.%4."/>
      <w:lvlJc w:val="left"/>
      <w:pPr>
        <w:tabs>
          <w:tab w:val="num" w:pos="3024"/>
        </w:tabs>
        <w:ind w:left="2952" w:hanging="648"/>
      </w:pPr>
      <w:rPr>
        <w:rFonts w:hint="default"/>
        <w:b/>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4">
    <w:nsid w:val="22F12928"/>
    <w:multiLevelType w:val="multilevel"/>
    <w:tmpl w:val="AEC2C150"/>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4."/>
      <w:lvlJc w:val="left"/>
      <w:pPr>
        <w:tabs>
          <w:tab w:val="num" w:pos="3024"/>
        </w:tabs>
        <w:ind w:left="2952" w:hanging="648"/>
      </w:pPr>
      <w:rPr>
        <w:rFonts w:hint="default"/>
        <w:b/>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5">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8C60C8"/>
    <w:multiLevelType w:val="multilevel"/>
    <w:tmpl w:val="377AC0A8"/>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3.%4."/>
      <w:lvlJc w:val="left"/>
      <w:pPr>
        <w:tabs>
          <w:tab w:val="num" w:pos="3024"/>
        </w:tabs>
        <w:ind w:left="2952" w:hanging="648"/>
      </w:pPr>
      <w:rPr>
        <w:rFonts w:hint="default"/>
        <w:b w:val="0"/>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10">
    <w:nsid w:val="4603329F"/>
    <w:multiLevelType w:val="multilevel"/>
    <w:tmpl w:val="C3CABAB2"/>
    <w:lvl w:ilvl="0">
      <w:start w:val="1"/>
      <w:numFmt w:val="decimal"/>
      <w:pStyle w:val="Requirement"/>
      <w:lvlText w:val="R%1."/>
      <w:lvlJc w:val="left"/>
      <w:pPr>
        <w:tabs>
          <w:tab w:val="num" w:pos="1116"/>
        </w:tabs>
        <w:ind w:left="1116"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1">
    <w:nsid w:val="4E9D2585"/>
    <w:multiLevelType w:val="multilevel"/>
    <w:tmpl w:val="2598B820"/>
    <w:lvl w:ilvl="0">
      <w:start w:val="1"/>
      <w:numFmt w:val="decimal"/>
      <w:lvlText w:val="R%1."/>
      <w:lvlJc w:val="left"/>
      <w:pPr>
        <w:tabs>
          <w:tab w:val="num" w:pos="1080"/>
        </w:tabs>
        <w:ind w:left="1080" w:hanging="576"/>
      </w:pPr>
      <w:rPr>
        <w:rFonts w:hint="default"/>
        <w:b/>
        <w:i w:val="0"/>
        <w:sz w:val="22"/>
        <w:szCs w:val="22"/>
      </w:rPr>
    </w:lvl>
    <w:lvl w:ilvl="1">
      <w:start w:val="1"/>
      <w:numFmt w:val="decimal"/>
      <w:lvlText w:val="R%1.%2."/>
      <w:lvlJc w:val="left"/>
      <w:pPr>
        <w:tabs>
          <w:tab w:val="num" w:pos="1872"/>
        </w:tabs>
        <w:ind w:left="1872" w:hanging="792"/>
      </w:pPr>
      <w:rPr>
        <w:rFonts w:ascii="Times New Roman" w:hAnsi="Times New Roman" w:hint="default"/>
        <w:b/>
        <w:i w:val="0"/>
        <w:sz w:val="22"/>
        <w:szCs w:val="22"/>
      </w:rPr>
    </w:lvl>
    <w:lvl w:ilvl="2">
      <w:start w:val="1"/>
      <w:numFmt w:val="bullet"/>
      <w:lvlText w:val=""/>
      <w:lvlJc w:val="left"/>
      <w:pPr>
        <w:tabs>
          <w:tab w:val="num" w:pos="2232"/>
        </w:tabs>
        <w:ind w:left="2232" w:hanging="360"/>
      </w:pPr>
      <w:rPr>
        <w:rFonts w:ascii="Symbol" w:hAnsi="Symbol" w:hint="default"/>
        <w:b/>
        <w:i w:val="0"/>
        <w:sz w:val="22"/>
        <w:szCs w:val="22"/>
      </w:rPr>
    </w:lvl>
    <w:lvl w:ilvl="3">
      <w:start w:val="1"/>
      <w:numFmt w:val="decimal"/>
      <w:lvlText w:val="%1.%2.%3.%4."/>
      <w:lvlJc w:val="left"/>
      <w:pPr>
        <w:tabs>
          <w:tab w:val="num" w:pos="3024"/>
        </w:tabs>
        <w:ind w:left="2952" w:hanging="648"/>
      </w:pPr>
      <w:rPr>
        <w:rFonts w:hint="default"/>
        <w:b w:val="0"/>
        <w:i w:val="0"/>
      </w:rPr>
    </w:lvl>
    <w:lvl w:ilvl="4">
      <w:start w:val="1"/>
      <w:numFmt w:val="decimal"/>
      <w:lvlText w:val="%1.%2.%3.%4.%5"/>
      <w:lvlJc w:val="left"/>
      <w:pPr>
        <w:tabs>
          <w:tab w:val="num" w:pos="3456"/>
        </w:tabs>
        <w:ind w:left="3600" w:hanging="216"/>
      </w:pPr>
      <w:rPr>
        <w:rFonts w:ascii="Times New Roman" w:hAnsi="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464"/>
        </w:tabs>
        <w:ind w:left="4248" w:hanging="1224"/>
      </w:pPr>
      <w:rPr>
        <w:rFonts w:hint="default"/>
      </w:rPr>
    </w:lvl>
    <w:lvl w:ilvl="8">
      <w:start w:val="1"/>
      <w:numFmt w:val="decimal"/>
      <w:lvlText w:val="%1.%2.%3.%4.%5.%6.%7.%8.%9."/>
      <w:lvlJc w:val="left"/>
      <w:pPr>
        <w:tabs>
          <w:tab w:val="num" w:pos="5184"/>
        </w:tabs>
        <w:ind w:left="4824" w:hanging="1440"/>
      </w:pPr>
      <w:rPr>
        <w:rFonts w:hint="default"/>
      </w:rPr>
    </w:lvl>
  </w:abstractNum>
  <w:abstractNum w:abstractNumId="12">
    <w:nsid w:val="7E4E4DD3"/>
    <w:multiLevelType w:val="hybridMultilevel"/>
    <w:tmpl w:val="E4A40778"/>
    <w:lvl w:ilvl="0" w:tplc="3202E3B2">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B9187162">
      <w:start w:val="1"/>
      <w:numFmt w:val="lowerLetter"/>
      <w:lvlText w:val="%2."/>
      <w:lvlJc w:val="left"/>
      <w:pPr>
        <w:tabs>
          <w:tab w:val="num" w:pos="1440"/>
        </w:tabs>
        <w:ind w:left="1440" w:hanging="360"/>
      </w:pPr>
    </w:lvl>
    <w:lvl w:ilvl="2" w:tplc="56B4CDC2" w:tentative="1">
      <w:start w:val="1"/>
      <w:numFmt w:val="lowerRoman"/>
      <w:lvlText w:val="%3."/>
      <w:lvlJc w:val="right"/>
      <w:pPr>
        <w:tabs>
          <w:tab w:val="num" w:pos="2160"/>
        </w:tabs>
        <w:ind w:left="2160" w:hanging="180"/>
      </w:pPr>
    </w:lvl>
    <w:lvl w:ilvl="3" w:tplc="3AF4325A" w:tentative="1">
      <w:start w:val="1"/>
      <w:numFmt w:val="decimal"/>
      <w:lvlText w:val="%4."/>
      <w:lvlJc w:val="left"/>
      <w:pPr>
        <w:tabs>
          <w:tab w:val="num" w:pos="2880"/>
        </w:tabs>
        <w:ind w:left="2880" w:hanging="360"/>
      </w:pPr>
    </w:lvl>
    <w:lvl w:ilvl="4" w:tplc="35B032DC" w:tentative="1">
      <w:start w:val="1"/>
      <w:numFmt w:val="lowerLetter"/>
      <w:lvlText w:val="%5."/>
      <w:lvlJc w:val="left"/>
      <w:pPr>
        <w:tabs>
          <w:tab w:val="num" w:pos="3600"/>
        </w:tabs>
        <w:ind w:left="3600" w:hanging="360"/>
      </w:pPr>
    </w:lvl>
    <w:lvl w:ilvl="5" w:tplc="8208CCCE" w:tentative="1">
      <w:start w:val="1"/>
      <w:numFmt w:val="lowerRoman"/>
      <w:lvlText w:val="%6."/>
      <w:lvlJc w:val="right"/>
      <w:pPr>
        <w:tabs>
          <w:tab w:val="num" w:pos="4320"/>
        </w:tabs>
        <w:ind w:left="4320" w:hanging="180"/>
      </w:pPr>
    </w:lvl>
    <w:lvl w:ilvl="6" w:tplc="86EA369C" w:tentative="1">
      <w:start w:val="1"/>
      <w:numFmt w:val="decimal"/>
      <w:lvlText w:val="%7."/>
      <w:lvlJc w:val="left"/>
      <w:pPr>
        <w:tabs>
          <w:tab w:val="num" w:pos="5040"/>
        </w:tabs>
        <w:ind w:left="5040" w:hanging="360"/>
      </w:pPr>
    </w:lvl>
    <w:lvl w:ilvl="7" w:tplc="5636E152" w:tentative="1">
      <w:start w:val="1"/>
      <w:numFmt w:val="lowerLetter"/>
      <w:lvlText w:val="%8."/>
      <w:lvlJc w:val="left"/>
      <w:pPr>
        <w:tabs>
          <w:tab w:val="num" w:pos="5760"/>
        </w:tabs>
        <w:ind w:left="5760" w:hanging="360"/>
      </w:pPr>
    </w:lvl>
    <w:lvl w:ilvl="8" w:tplc="8D9C0E66"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7"/>
  </w:num>
  <w:num w:numId="5">
    <w:abstractNumId w:val="10"/>
  </w:num>
  <w:num w:numId="6">
    <w:abstractNumId w:val="0"/>
  </w:num>
  <w:num w:numId="7">
    <w:abstractNumId w:val="8"/>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951"/>
    <w:rsid w:val="00001BFE"/>
    <w:rsid w:val="000139E0"/>
    <w:rsid w:val="00022E5E"/>
    <w:rsid w:val="000317CD"/>
    <w:rsid w:val="00032186"/>
    <w:rsid w:val="000970FA"/>
    <w:rsid w:val="000A1934"/>
    <w:rsid w:val="000B61F0"/>
    <w:rsid w:val="000C264F"/>
    <w:rsid w:val="000D21D3"/>
    <w:rsid w:val="000D70B8"/>
    <w:rsid w:val="000F5A9B"/>
    <w:rsid w:val="0011459C"/>
    <w:rsid w:val="00116325"/>
    <w:rsid w:val="00126A1E"/>
    <w:rsid w:val="001506C6"/>
    <w:rsid w:val="0015310F"/>
    <w:rsid w:val="00166026"/>
    <w:rsid w:val="00171169"/>
    <w:rsid w:val="0018619F"/>
    <w:rsid w:val="001B4BC9"/>
    <w:rsid w:val="001B5272"/>
    <w:rsid w:val="001B673A"/>
    <w:rsid w:val="001C7F57"/>
    <w:rsid w:val="001D0C8A"/>
    <w:rsid w:val="001E562F"/>
    <w:rsid w:val="001E65B6"/>
    <w:rsid w:val="001E693D"/>
    <w:rsid w:val="001F3490"/>
    <w:rsid w:val="001F467C"/>
    <w:rsid w:val="001F76D2"/>
    <w:rsid w:val="0020112E"/>
    <w:rsid w:val="00203722"/>
    <w:rsid w:val="002361EE"/>
    <w:rsid w:val="00246C3A"/>
    <w:rsid w:val="0026256D"/>
    <w:rsid w:val="0028242C"/>
    <w:rsid w:val="002A154C"/>
    <w:rsid w:val="002A15C6"/>
    <w:rsid w:val="002A4F3F"/>
    <w:rsid w:val="002A6542"/>
    <w:rsid w:val="002B3BBC"/>
    <w:rsid w:val="002B6766"/>
    <w:rsid w:val="002C09F3"/>
    <w:rsid w:val="002D1C0A"/>
    <w:rsid w:val="002D3AC9"/>
    <w:rsid w:val="002D48D9"/>
    <w:rsid w:val="002E66FF"/>
    <w:rsid w:val="002F248A"/>
    <w:rsid w:val="0031053B"/>
    <w:rsid w:val="003144FC"/>
    <w:rsid w:val="00334B98"/>
    <w:rsid w:val="00343273"/>
    <w:rsid w:val="003445E5"/>
    <w:rsid w:val="003470C7"/>
    <w:rsid w:val="003512AC"/>
    <w:rsid w:val="003639B4"/>
    <w:rsid w:val="00365010"/>
    <w:rsid w:val="00365015"/>
    <w:rsid w:val="00366160"/>
    <w:rsid w:val="00371485"/>
    <w:rsid w:val="00376138"/>
    <w:rsid w:val="00383B95"/>
    <w:rsid w:val="00386419"/>
    <w:rsid w:val="00391649"/>
    <w:rsid w:val="003B705F"/>
    <w:rsid w:val="003B78F8"/>
    <w:rsid w:val="003C7E43"/>
    <w:rsid w:val="003D1934"/>
    <w:rsid w:val="003D2BF9"/>
    <w:rsid w:val="00415891"/>
    <w:rsid w:val="00442E41"/>
    <w:rsid w:val="004631F0"/>
    <w:rsid w:val="004635D9"/>
    <w:rsid w:val="00472DC2"/>
    <w:rsid w:val="004A7725"/>
    <w:rsid w:val="004A7C99"/>
    <w:rsid w:val="004B631D"/>
    <w:rsid w:val="004C005C"/>
    <w:rsid w:val="004C2E5D"/>
    <w:rsid w:val="004F2D45"/>
    <w:rsid w:val="004F75F1"/>
    <w:rsid w:val="00530C61"/>
    <w:rsid w:val="0054305B"/>
    <w:rsid w:val="005436E7"/>
    <w:rsid w:val="005810E2"/>
    <w:rsid w:val="00584AD3"/>
    <w:rsid w:val="0059234B"/>
    <w:rsid w:val="005928F8"/>
    <w:rsid w:val="005947B2"/>
    <w:rsid w:val="00594B4D"/>
    <w:rsid w:val="005A4001"/>
    <w:rsid w:val="005A53C3"/>
    <w:rsid w:val="005C42F1"/>
    <w:rsid w:val="005E29C0"/>
    <w:rsid w:val="005E50A4"/>
    <w:rsid w:val="005E6AC4"/>
    <w:rsid w:val="005F55FD"/>
    <w:rsid w:val="00616A77"/>
    <w:rsid w:val="00617AC1"/>
    <w:rsid w:val="006304FE"/>
    <w:rsid w:val="00635DEF"/>
    <w:rsid w:val="0065170E"/>
    <w:rsid w:val="006520BE"/>
    <w:rsid w:val="00655F00"/>
    <w:rsid w:val="006860D2"/>
    <w:rsid w:val="006962BD"/>
    <w:rsid w:val="006A3A5D"/>
    <w:rsid w:val="006A745C"/>
    <w:rsid w:val="006F56CC"/>
    <w:rsid w:val="00703A5B"/>
    <w:rsid w:val="00710D7B"/>
    <w:rsid w:val="00715E71"/>
    <w:rsid w:val="00730651"/>
    <w:rsid w:val="007458D4"/>
    <w:rsid w:val="00755171"/>
    <w:rsid w:val="00770E9A"/>
    <w:rsid w:val="00797AE3"/>
    <w:rsid w:val="007A1587"/>
    <w:rsid w:val="007B5AA7"/>
    <w:rsid w:val="007C091E"/>
    <w:rsid w:val="007D7CE7"/>
    <w:rsid w:val="007E7013"/>
    <w:rsid w:val="007E76D0"/>
    <w:rsid w:val="007F4D72"/>
    <w:rsid w:val="007F54A2"/>
    <w:rsid w:val="0080627C"/>
    <w:rsid w:val="008124A2"/>
    <w:rsid w:val="0082119E"/>
    <w:rsid w:val="00871CFE"/>
    <w:rsid w:val="008737EE"/>
    <w:rsid w:val="00873C3B"/>
    <w:rsid w:val="008751C8"/>
    <w:rsid w:val="00875EC6"/>
    <w:rsid w:val="00881622"/>
    <w:rsid w:val="00883445"/>
    <w:rsid w:val="00894DBC"/>
    <w:rsid w:val="00894F21"/>
    <w:rsid w:val="008953A8"/>
    <w:rsid w:val="00896D1B"/>
    <w:rsid w:val="008A13C8"/>
    <w:rsid w:val="008A6A9E"/>
    <w:rsid w:val="008B3FBA"/>
    <w:rsid w:val="008B4DA1"/>
    <w:rsid w:val="008C462E"/>
    <w:rsid w:val="008E7145"/>
    <w:rsid w:val="008E7CBF"/>
    <w:rsid w:val="008F391F"/>
    <w:rsid w:val="00911E30"/>
    <w:rsid w:val="00912C26"/>
    <w:rsid w:val="00914A02"/>
    <w:rsid w:val="0092092B"/>
    <w:rsid w:val="00920BB5"/>
    <w:rsid w:val="00931D2B"/>
    <w:rsid w:val="0094240A"/>
    <w:rsid w:val="00945732"/>
    <w:rsid w:val="00945D21"/>
    <w:rsid w:val="00947550"/>
    <w:rsid w:val="0098106F"/>
    <w:rsid w:val="009B4274"/>
    <w:rsid w:val="009C4C52"/>
    <w:rsid w:val="009D005B"/>
    <w:rsid w:val="009E6126"/>
    <w:rsid w:val="009F494F"/>
    <w:rsid w:val="00A12D07"/>
    <w:rsid w:val="00A13147"/>
    <w:rsid w:val="00A154A7"/>
    <w:rsid w:val="00A160C1"/>
    <w:rsid w:val="00A465E4"/>
    <w:rsid w:val="00A52681"/>
    <w:rsid w:val="00A83961"/>
    <w:rsid w:val="00A95CC4"/>
    <w:rsid w:val="00AA2650"/>
    <w:rsid w:val="00AB1317"/>
    <w:rsid w:val="00AB77A0"/>
    <w:rsid w:val="00AC259B"/>
    <w:rsid w:val="00AD27EE"/>
    <w:rsid w:val="00AE29E8"/>
    <w:rsid w:val="00AE6A2C"/>
    <w:rsid w:val="00AF0F6B"/>
    <w:rsid w:val="00AF339F"/>
    <w:rsid w:val="00B060A0"/>
    <w:rsid w:val="00B475B3"/>
    <w:rsid w:val="00B80E8C"/>
    <w:rsid w:val="00B83452"/>
    <w:rsid w:val="00BA1198"/>
    <w:rsid w:val="00BB7AEC"/>
    <w:rsid w:val="00BC3724"/>
    <w:rsid w:val="00BC4B46"/>
    <w:rsid w:val="00BE7749"/>
    <w:rsid w:val="00BF3B2C"/>
    <w:rsid w:val="00BF414B"/>
    <w:rsid w:val="00C05632"/>
    <w:rsid w:val="00C357A7"/>
    <w:rsid w:val="00C4478B"/>
    <w:rsid w:val="00C749BD"/>
    <w:rsid w:val="00C80954"/>
    <w:rsid w:val="00C96948"/>
    <w:rsid w:val="00CA2126"/>
    <w:rsid w:val="00CA456A"/>
    <w:rsid w:val="00CA7084"/>
    <w:rsid w:val="00CB4216"/>
    <w:rsid w:val="00CD3D5C"/>
    <w:rsid w:val="00CD46C9"/>
    <w:rsid w:val="00CE4441"/>
    <w:rsid w:val="00CE5A65"/>
    <w:rsid w:val="00CF6A6F"/>
    <w:rsid w:val="00D0367C"/>
    <w:rsid w:val="00D10BE5"/>
    <w:rsid w:val="00D2641B"/>
    <w:rsid w:val="00D308DB"/>
    <w:rsid w:val="00D47D27"/>
    <w:rsid w:val="00D633AB"/>
    <w:rsid w:val="00D84951"/>
    <w:rsid w:val="00DB102F"/>
    <w:rsid w:val="00DB193C"/>
    <w:rsid w:val="00DB3438"/>
    <w:rsid w:val="00DB7ACC"/>
    <w:rsid w:val="00DC78CD"/>
    <w:rsid w:val="00DD3DBC"/>
    <w:rsid w:val="00DE0D99"/>
    <w:rsid w:val="00DE6326"/>
    <w:rsid w:val="00DF77F1"/>
    <w:rsid w:val="00E0019B"/>
    <w:rsid w:val="00E0573C"/>
    <w:rsid w:val="00E21A0E"/>
    <w:rsid w:val="00E26A92"/>
    <w:rsid w:val="00E32DF4"/>
    <w:rsid w:val="00E35227"/>
    <w:rsid w:val="00E42C15"/>
    <w:rsid w:val="00E4686F"/>
    <w:rsid w:val="00E50B80"/>
    <w:rsid w:val="00E92BC5"/>
    <w:rsid w:val="00E95312"/>
    <w:rsid w:val="00EA0B4E"/>
    <w:rsid w:val="00EC2D53"/>
    <w:rsid w:val="00EC7BDC"/>
    <w:rsid w:val="00EE4BDB"/>
    <w:rsid w:val="00EE770B"/>
    <w:rsid w:val="00EF104B"/>
    <w:rsid w:val="00EF38AF"/>
    <w:rsid w:val="00F173F4"/>
    <w:rsid w:val="00F24B53"/>
    <w:rsid w:val="00F250BD"/>
    <w:rsid w:val="00F65FF8"/>
    <w:rsid w:val="00F70910"/>
    <w:rsid w:val="00F74F3F"/>
    <w:rsid w:val="00F87E5A"/>
    <w:rsid w:val="00F95D57"/>
    <w:rsid w:val="00FA5623"/>
    <w:rsid w:val="00FE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8DE55E0-44F5-442F-AA47-8253D63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A745C"/>
    <w:pPr>
      <w:widowControl w:val="0"/>
      <w:tabs>
        <w:tab w:val="center" w:pos="5400"/>
      </w:tabs>
    </w:pPr>
    <w:rPr>
      <w:rFonts w:cs="Times New Roman"/>
    </w:rPr>
  </w:style>
  <w:style w:type="paragraph" w:customStyle="1" w:styleId="Style16">
    <w:name w:val="Style16"/>
    <w:basedOn w:val="Normal"/>
    <w:uiPriority w:val="99"/>
    <w:rsid w:val="006A745C"/>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link w:val="RequirementChar"/>
    <w:autoRedefine/>
    <w:rsid w:val="000970FA"/>
    <w:pPr>
      <w:numPr>
        <w:numId w:val="5"/>
      </w:numPr>
      <w:tabs>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styleId="FootnoteText">
    <w:name w:val="footnote text"/>
    <w:basedOn w:val="Normal"/>
    <w:link w:val="FootnoteTextChar"/>
    <w:semiHidden/>
    <w:rsid w:val="00873C3B"/>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873C3B"/>
  </w:style>
  <w:style w:type="character" w:styleId="FootnoteReference">
    <w:name w:val="footnote reference"/>
    <w:semiHidden/>
    <w:rsid w:val="00873C3B"/>
    <w:rPr>
      <w:vertAlign w:val="superscript"/>
    </w:rPr>
  </w:style>
  <w:style w:type="character" w:customStyle="1" w:styleId="RequirementChar">
    <w:name w:val="Requirement Char"/>
    <w:link w:val="Requirement"/>
    <w:rsid w:val="00873C3B"/>
    <w:rPr>
      <w:sz w:val="24"/>
      <w:szCs w:val="24"/>
    </w:rPr>
  </w:style>
  <w:style w:type="paragraph" w:styleId="ListParagraph">
    <w:name w:val="List Paragraph"/>
    <w:basedOn w:val="Normal"/>
    <w:uiPriority w:val="34"/>
    <w:qFormat/>
    <w:rsid w:val="00CB4216"/>
    <w:pPr>
      <w:ind w:left="720"/>
    </w:pPr>
  </w:style>
  <w:style w:type="character" w:styleId="Strong">
    <w:name w:val="Strong"/>
    <w:qFormat/>
    <w:rsid w:val="00B80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435711052">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588393950">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32910961">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6352010">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7092399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299452666">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531340295">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62075957">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684740484">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MOD-001-1a</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2BB0C-2AF2-45AA-B701-2067888F8103}"/>
</file>

<file path=customXml/itemProps2.xml><?xml version="1.0" encoding="utf-8"?>
<ds:datastoreItem xmlns:ds="http://schemas.openxmlformats.org/officeDocument/2006/customXml" ds:itemID="{51DAB765-6649-4BC3-90ED-DA17983D7E23}"/>
</file>

<file path=customXml/itemProps3.xml><?xml version="1.0" encoding="utf-8"?>
<ds:datastoreItem xmlns:ds="http://schemas.openxmlformats.org/officeDocument/2006/customXml" ds:itemID="{64FA6AE5-DBEE-4FC5-8915-FD0EC42BAF4B}"/>
</file>

<file path=customXml/itemProps4.xml><?xml version="1.0" encoding="utf-8"?>
<ds:datastoreItem xmlns:ds="http://schemas.openxmlformats.org/officeDocument/2006/customXml" ds:itemID="{2A450B71-53E9-4B03-A9D6-6F8AB0680772}"/>
</file>

<file path=customXml/itemProps5.xml><?xml version="1.0" encoding="utf-8"?>
<ds:datastoreItem xmlns:ds="http://schemas.openxmlformats.org/officeDocument/2006/customXml" ds:itemID="{AEC1997A-C0F4-433A-97F2-1BBC70ECE92C}"/>
</file>

<file path=customXml/itemProps6.xml><?xml version="1.0" encoding="utf-8"?>
<ds:datastoreItem xmlns:ds="http://schemas.openxmlformats.org/officeDocument/2006/customXml" ds:itemID="{11888C5D-A450-4206-8BE7-1D6C880E148C}"/>
</file>

<file path=docProps/app.xml><?xml version="1.0" encoding="utf-8"?>
<Properties xmlns="http://schemas.openxmlformats.org/officeDocument/2006/extended-properties" xmlns:vt="http://schemas.openxmlformats.org/officeDocument/2006/docPropsVTypes">
  <Template>Normal</Template>
  <TotalTime>0</TotalTime>
  <Pages>3</Pages>
  <Words>8105</Words>
  <Characters>46202</Characters>
  <Application>Microsoft Office Word</Application>
  <DocSecurity>0</DocSecurity>
  <Lines>385</Lines>
  <Paragraphs>108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Available Transmission System Capability</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R6 Supporting Evidence and Documentation</vt:lpstr>
      <vt:lpstr>R7 Supporting Evidence and Documentation</vt:lpstr>
      <vt:lpstr>R8 Supporting Evidence and Documentation</vt:lpstr>
      <vt:lpstr>R9 Supporting Evidence and Documentation</vt:lpstr>
      <vt:lpstr>Supplemental Information</vt:lpstr>
      <vt:lpstr>Compliance Findings Summary (to be filled out by auditor)</vt:lpstr>
    </vt:vector>
  </TitlesOfParts>
  <Company/>
  <LinksUpToDate>false</LinksUpToDate>
  <CharactersWithSpaces>54199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Available Transmission System Capability</dc:title>
  <dc:subject/>
  <dc:creator>NERC</dc:creator>
  <cp:keywords/>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NERCASSETID-406-70</vt:lpwstr>
  </property>
  <property fmtid="{D5CDD505-2E9C-101B-9397-08002B2CF9AE}" pid="3" name="_dlc_DocIdItemGuid">
    <vt:lpwstr>72ad8c23-cfb5-4dec-a700-6b219853e098</vt:lpwstr>
  </property>
  <property fmtid="{D5CDD505-2E9C-101B-9397-08002B2CF9AE}" pid="4" name="_dlc_DocIdUrl">
    <vt:lpwstr>http://www.nerc.com/pa/comp/_layouts/DocIdRedir.aspx?ID=NERCASSETID-406-70, NERCASSETID-406-70</vt:lpwstr>
  </property>
  <property fmtid="{D5CDD505-2E9C-101B-9397-08002B2CF9AE}" pid="5" name="xd_Signature">
    <vt:lpwstr/>
  </property>
  <property fmtid="{D5CDD505-2E9C-101B-9397-08002B2CF9AE}" pid="6" name="Order">
    <vt:lpwstr>7000.00000000000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