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26989"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4AE338FE" wp14:editId="0A0E43D7">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6E377B11" w14:textId="77777777" w:rsidR="007D3700" w:rsidRPr="007D3700" w:rsidRDefault="007D3700" w:rsidP="004005B5">
      <w:pPr>
        <w:widowControl w:val="0"/>
        <w:tabs>
          <w:tab w:val="left" w:pos="0"/>
          <w:tab w:val="center" w:pos="5819"/>
        </w:tabs>
        <w:rPr>
          <w:rFonts w:ascii="Times New Roman" w:hAnsi="Times New Roman" w:cs="Times New Roman"/>
          <w:b/>
          <w:bCs/>
        </w:rPr>
      </w:pPr>
    </w:p>
    <w:p w14:paraId="61793FC2"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038FF263" w14:textId="77777777" w:rsidR="00D07095" w:rsidRPr="00402C3E" w:rsidRDefault="00D07095" w:rsidP="004005B5">
      <w:pPr>
        <w:widowControl w:val="0"/>
        <w:tabs>
          <w:tab w:val="left" w:pos="0"/>
        </w:tabs>
        <w:rPr>
          <w:rFonts w:ascii="Times New Roman" w:hAnsi="Times New Roman" w:cs="Times New Roman"/>
          <w:b/>
          <w:bCs/>
        </w:rPr>
      </w:pPr>
    </w:p>
    <w:p w14:paraId="44526B93" w14:textId="77777777" w:rsidR="00D07095" w:rsidRPr="00402C3E" w:rsidRDefault="00D07095" w:rsidP="004005B5">
      <w:pPr>
        <w:widowControl w:val="0"/>
        <w:tabs>
          <w:tab w:val="left" w:pos="0"/>
        </w:tabs>
        <w:rPr>
          <w:rFonts w:ascii="Times New Roman" w:hAnsi="Times New Roman" w:cs="Times New Roman"/>
          <w:b/>
          <w:bCs/>
        </w:rPr>
      </w:pPr>
    </w:p>
    <w:p w14:paraId="28F5B54E" w14:textId="1F0A705E" w:rsidR="00D07095" w:rsidRPr="00402C3E" w:rsidRDefault="009D181E" w:rsidP="004005B5">
      <w:pPr>
        <w:pStyle w:val="Heading"/>
        <w:tabs>
          <w:tab w:val="left" w:pos="0"/>
        </w:tabs>
        <w:spacing w:before="0" w:after="0"/>
        <w:ind w:firstLine="1"/>
        <w:rPr>
          <w:sz w:val="22"/>
          <w:szCs w:val="22"/>
        </w:rPr>
      </w:pPr>
      <w:r>
        <w:rPr>
          <w:szCs w:val="22"/>
        </w:rPr>
        <w:t>EOP-01</w:t>
      </w:r>
      <w:r w:rsidR="00476C7E">
        <w:rPr>
          <w:szCs w:val="22"/>
        </w:rPr>
        <w:t>0</w:t>
      </w:r>
      <w:r>
        <w:rPr>
          <w:szCs w:val="22"/>
        </w:rPr>
        <w:t>-1</w:t>
      </w:r>
      <w:r w:rsidRPr="00F548BE">
        <w:rPr>
          <w:szCs w:val="22"/>
        </w:rPr>
        <w:t xml:space="preserve"> – </w:t>
      </w:r>
      <w:r w:rsidR="00476C7E">
        <w:rPr>
          <w:szCs w:val="22"/>
        </w:rPr>
        <w:t>Geomagnetic Disturbance</w:t>
      </w:r>
      <w:r>
        <w:rPr>
          <w:szCs w:val="22"/>
        </w:rPr>
        <w:t xml:space="preserve"> </w:t>
      </w:r>
      <w:r w:rsidR="004E0517">
        <w:rPr>
          <w:szCs w:val="22"/>
        </w:rPr>
        <w:t xml:space="preserve">(GMD) </w:t>
      </w:r>
      <w:r>
        <w:rPr>
          <w:szCs w:val="22"/>
        </w:rPr>
        <w:t>Operations</w:t>
      </w:r>
    </w:p>
    <w:p w14:paraId="75392F13" w14:textId="77777777" w:rsidR="00D07095" w:rsidRPr="00402C3E" w:rsidRDefault="00D07095" w:rsidP="004005B5">
      <w:pPr>
        <w:widowControl w:val="0"/>
        <w:tabs>
          <w:tab w:val="left" w:pos="0"/>
        </w:tabs>
        <w:jc w:val="center"/>
        <w:rPr>
          <w:rFonts w:ascii="Times New Roman" w:hAnsi="Times New Roman" w:cs="Times New Roman"/>
        </w:rPr>
      </w:pPr>
    </w:p>
    <w:p w14:paraId="2DCFDF85"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1ABEAF49"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71B1E7F3" w14:textId="77777777" w:rsidTr="00C1568A">
        <w:tc>
          <w:tcPr>
            <w:tcW w:w="3888" w:type="dxa"/>
          </w:tcPr>
          <w:p w14:paraId="20573F5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4E24B7F4" w14:textId="77777777" w:rsidR="00C1568A" w:rsidRPr="00BF371A" w:rsidRDefault="00F019DB"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5F290590" w14:textId="77777777" w:rsidTr="00C1568A">
        <w:tc>
          <w:tcPr>
            <w:tcW w:w="3888" w:type="dxa"/>
          </w:tcPr>
          <w:p w14:paraId="511C4D16" w14:textId="77777777" w:rsidR="00C1568A" w:rsidRPr="00C1568A" w:rsidRDefault="00C1568A" w:rsidP="003062C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45C62FEA" w14:textId="77777777" w:rsidR="00C1568A" w:rsidRPr="00BF371A" w:rsidRDefault="00C1568A"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71DAFDB8" w14:textId="77777777" w:rsidTr="00C1568A">
        <w:tc>
          <w:tcPr>
            <w:tcW w:w="3888" w:type="dxa"/>
          </w:tcPr>
          <w:p w14:paraId="43C7522F" w14:textId="77777777" w:rsidR="00C1568A" w:rsidRPr="00C1568A" w:rsidRDefault="00C1568A" w:rsidP="003062C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50A8ABFE" w14:textId="77777777" w:rsidR="00C1568A" w:rsidRPr="00BF371A" w:rsidRDefault="00C1568A" w:rsidP="003062CC">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1830322A" w14:textId="77777777" w:rsidTr="00C1568A">
        <w:tc>
          <w:tcPr>
            <w:tcW w:w="3888" w:type="dxa"/>
          </w:tcPr>
          <w:p w14:paraId="794482DD"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45D3E69" w14:textId="77777777" w:rsidR="00C1568A" w:rsidRPr="00BF371A" w:rsidRDefault="00C1568A" w:rsidP="003062CC">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15EB638B" w14:textId="77777777" w:rsidTr="00C1568A">
        <w:tc>
          <w:tcPr>
            <w:tcW w:w="3888" w:type="dxa"/>
          </w:tcPr>
          <w:p w14:paraId="0C013DF1"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26B2015F" w14:textId="77777777" w:rsidR="00C1568A" w:rsidRPr="00BF371A" w:rsidRDefault="00F019DB" w:rsidP="003062CC">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492CB194" w14:textId="77777777" w:rsidTr="00C1568A">
        <w:tc>
          <w:tcPr>
            <w:tcW w:w="3888" w:type="dxa"/>
          </w:tcPr>
          <w:p w14:paraId="025690A9"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4DF8499C" w14:textId="77777777" w:rsidR="00C1568A" w:rsidRPr="00BF371A" w:rsidRDefault="008B4D59" w:rsidP="003062CC">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0FA307E2" w14:textId="77777777" w:rsidTr="00C1568A">
        <w:tc>
          <w:tcPr>
            <w:tcW w:w="3888" w:type="dxa"/>
          </w:tcPr>
          <w:p w14:paraId="52A54552" w14:textId="77777777" w:rsidR="00C1568A" w:rsidRPr="00C1568A" w:rsidRDefault="00C1568A" w:rsidP="003062CC">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29612A5D" w14:textId="77777777" w:rsidR="00C1568A" w:rsidRPr="00BF371A" w:rsidRDefault="00F019DB"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7C721143" w14:textId="77777777" w:rsidR="0086378C" w:rsidRDefault="0086378C" w:rsidP="00EC4830">
      <w:pPr>
        <w:autoSpaceDE/>
        <w:autoSpaceDN/>
        <w:adjustRightInd/>
        <w:rPr>
          <w:rFonts w:ascii="Times New Roman" w:hAnsi="Times New Roman" w:cs="Times New Roman"/>
          <w:b/>
          <w:bCs/>
          <w:color w:val="003366"/>
          <w:sz w:val="32"/>
          <w:szCs w:val="32"/>
        </w:rPr>
      </w:pPr>
    </w:p>
    <w:p w14:paraId="3F0D1EF7" w14:textId="77777777" w:rsidR="000B0E7C" w:rsidRPr="00866825" w:rsidRDefault="000B0E7C" w:rsidP="0093048F">
      <w:pPr>
        <w:pStyle w:val="Heading1"/>
        <w:rPr>
          <w:rFonts w:asciiTheme="minorHAnsi" w:hAnsiTheme="minorHAnsi"/>
          <w:color w:val="auto"/>
          <w:sz w:val="24"/>
          <w:szCs w:val="24"/>
        </w:rPr>
      </w:pPr>
      <w:bookmarkStart w:id="0" w:name="_Toc330463552"/>
      <w:r w:rsidRPr="007F5823">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9D181E" w:rsidRPr="00171071" w14:paraId="77E7E40E" w14:textId="77777777" w:rsidTr="003062CC">
        <w:tc>
          <w:tcPr>
            <w:tcW w:w="605" w:type="dxa"/>
            <w:shd w:val="clear" w:color="auto" w:fill="DCDCFF"/>
          </w:tcPr>
          <w:p w14:paraId="7569CBA9" w14:textId="77777777" w:rsidR="009D181E" w:rsidRPr="00171071" w:rsidRDefault="009D181E" w:rsidP="003062CC">
            <w:pPr>
              <w:jc w:val="center"/>
              <w:rPr>
                <w:rFonts w:asciiTheme="minorHAnsi" w:hAnsiTheme="minorHAnsi"/>
                <w:b/>
                <w:sz w:val="20"/>
                <w:szCs w:val="20"/>
              </w:rPr>
            </w:pPr>
          </w:p>
        </w:tc>
        <w:tc>
          <w:tcPr>
            <w:tcW w:w="605" w:type="dxa"/>
            <w:shd w:val="clear" w:color="auto" w:fill="DCDCFF"/>
          </w:tcPr>
          <w:p w14:paraId="76B6FBBE"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64E490D9"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2F95B32B"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1D074666"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3B247F5C"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0236D121"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0C019743"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3414A8A1"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1795F74E"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6F3D3939"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1AC925A6"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1B61CC2"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327A14F2"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108252EC"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72B3D464"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TSP</w:t>
            </w:r>
          </w:p>
        </w:tc>
      </w:tr>
      <w:tr w:rsidR="009D181E" w:rsidRPr="00171071" w14:paraId="48BA1466" w14:textId="77777777" w:rsidTr="003062CC">
        <w:tc>
          <w:tcPr>
            <w:tcW w:w="605" w:type="dxa"/>
            <w:shd w:val="clear" w:color="auto" w:fill="DCDCFF"/>
          </w:tcPr>
          <w:p w14:paraId="1624E44D" w14:textId="77777777" w:rsidR="009D181E" w:rsidRPr="00171071" w:rsidRDefault="009D181E" w:rsidP="003062C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20571127"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739BAF7"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CC67F9C"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61A2A0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4CB751C"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C5884D8"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AED2BD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7B8652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80D2E8E" w14:textId="77777777" w:rsidR="009D181E" w:rsidRPr="00171071" w:rsidRDefault="0029389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CBFEFE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A6437F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1C46CB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78B0B08"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C33235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0DFE753" w14:textId="77777777" w:rsidR="009D181E" w:rsidRPr="00171071" w:rsidRDefault="009D181E" w:rsidP="003062CC">
            <w:pPr>
              <w:jc w:val="center"/>
              <w:rPr>
                <w:rFonts w:asciiTheme="minorHAnsi" w:hAnsiTheme="minorHAnsi"/>
                <w:sz w:val="20"/>
                <w:szCs w:val="20"/>
              </w:rPr>
            </w:pPr>
          </w:p>
        </w:tc>
      </w:tr>
      <w:tr w:rsidR="009D181E" w:rsidRPr="00171071" w14:paraId="0EDEBE34" w14:textId="77777777" w:rsidTr="003062CC">
        <w:tc>
          <w:tcPr>
            <w:tcW w:w="605" w:type="dxa"/>
            <w:shd w:val="clear" w:color="auto" w:fill="DCDCFF"/>
          </w:tcPr>
          <w:p w14:paraId="25AD5E34" w14:textId="77777777" w:rsidR="009D181E" w:rsidRPr="00171071" w:rsidRDefault="009D181E" w:rsidP="003062C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0703BFD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5E46C5C"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71DCE8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D89DBD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CC411DC"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8EE12D7"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055ADD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1FB65AD"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47883C0" w14:textId="77777777" w:rsidR="009D181E" w:rsidRPr="00171071" w:rsidRDefault="0029389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6337C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F600E7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31782D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803078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744EAA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9EB31B5" w14:textId="77777777" w:rsidR="009D181E" w:rsidRPr="00171071" w:rsidRDefault="009D181E" w:rsidP="003062CC">
            <w:pPr>
              <w:jc w:val="center"/>
              <w:rPr>
                <w:rFonts w:asciiTheme="minorHAnsi" w:hAnsiTheme="minorHAnsi"/>
                <w:sz w:val="20"/>
                <w:szCs w:val="20"/>
              </w:rPr>
            </w:pPr>
          </w:p>
        </w:tc>
      </w:tr>
      <w:tr w:rsidR="009D181E" w:rsidRPr="00171071" w14:paraId="65BEE6F2" w14:textId="77777777" w:rsidTr="003062CC">
        <w:tc>
          <w:tcPr>
            <w:tcW w:w="605" w:type="dxa"/>
            <w:shd w:val="clear" w:color="auto" w:fill="DCDCFF"/>
          </w:tcPr>
          <w:p w14:paraId="12339561" w14:textId="77777777" w:rsidR="009D181E" w:rsidRPr="00171071" w:rsidRDefault="009D181E" w:rsidP="007F5823">
            <w:pPr>
              <w:rPr>
                <w:rFonts w:asciiTheme="minorHAnsi" w:hAnsiTheme="minorHAnsi"/>
                <w:b/>
                <w:sz w:val="20"/>
                <w:szCs w:val="20"/>
              </w:rPr>
            </w:pPr>
            <w:r w:rsidRPr="00171071">
              <w:rPr>
                <w:rFonts w:asciiTheme="minorHAnsi" w:hAnsiTheme="minorHAnsi"/>
                <w:b/>
                <w:sz w:val="20"/>
                <w:szCs w:val="20"/>
              </w:rPr>
              <w:t>R</w:t>
            </w:r>
            <w:r w:rsidR="007F5823">
              <w:rPr>
                <w:rFonts w:asciiTheme="minorHAnsi" w:hAnsiTheme="minorHAnsi"/>
                <w:b/>
                <w:sz w:val="20"/>
                <w:szCs w:val="20"/>
              </w:rPr>
              <w:t>3</w:t>
            </w:r>
          </w:p>
        </w:tc>
        <w:tc>
          <w:tcPr>
            <w:tcW w:w="605" w:type="dxa"/>
            <w:shd w:val="clear" w:color="auto" w:fill="DCDCFF"/>
          </w:tcPr>
          <w:p w14:paraId="5FF65E76"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992C5DD"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EBD5F76"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2042A3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4D3DBC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EA3B87D"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9E960A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92E17A6"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84E167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6C1BBC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14DE9F6"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51530F8"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904998C" w14:textId="329B4582" w:rsidR="009D181E" w:rsidRPr="00171071" w:rsidRDefault="00293895" w:rsidP="003062CC">
            <w:pPr>
              <w:jc w:val="center"/>
              <w:rPr>
                <w:rFonts w:asciiTheme="minorHAnsi" w:hAnsiTheme="minorHAnsi"/>
                <w:sz w:val="20"/>
                <w:szCs w:val="20"/>
              </w:rPr>
            </w:pPr>
            <w:r>
              <w:rPr>
                <w:rFonts w:asciiTheme="minorHAnsi" w:hAnsiTheme="minorHAnsi"/>
                <w:sz w:val="20"/>
                <w:szCs w:val="20"/>
              </w:rPr>
              <w:t>X</w:t>
            </w:r>
            <w:r w:rsidR="00CC5C01">
              <w:rPr>
                <w:rStyle w:val="FootnoteReference"/>
                <w:rFonts w:asciiTheme="minorHAnsi" w:hAnsiTheme="minorHAnsi"/>
                <w:sz w:val="20"/>
                <w:szCs w:val="20"/>
              </w:rPr>
              <w:footnoteReference w:id="4"/>
            </w:r>
          </w:p>
        </w:tc>
        <w:tc>
          <w:tcPr>
            <w:tcW w:w="605" w:type="dxa"/>
            <w:shd w:val="clear" w:color="auto" w:fill="DCDCFF"/>
          </w:tcPr>
          <w:p w14:paraId="508368A6"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C528B82" w14:textId="77777777" w:rsidR="009D181E" w:rsidRPr="00171071" w:rsidRDefault="009D181E" w:rsidP="003062CC">
            <w:pPr>
              <w:jc w:val="center"/>
              <w:rPr>
                <w:rFonts w:asciiTheme="minorHAnsi" w:hAnsiTheme="minorHAnsi"/>
                <w:sz w:val="20"/>
                <w:szCs w:val="20"/>
              </w:rPr>
            </w:pPr>
          </w:p>
        </w:tc>
      </w:tr>
    </w:tbl>
    <w:p w14:paraId="78C1D8D8" w14:textId="77777777" w:rsidR="00B76374" w:rsidRDefault="00B76374" w:rsidP="009D181E">
      <w:pPr>
        <w:keepNext/>
        <w:autoSpaceDE/>
        <w:autoSpaceDN/>
        <w:adjustRightInd/>
        <w:rPr>
          <w:rFonts w:asciiTheme="minorHAnsi" w:hAnsiTheme="minorHAnsi"/>
          <w:b/>
          <w:color w:val="auto"/>
          <w:u w:val="single"/>
        </w:rPr>
      </w:pPr>
    </w:p>
    <w:p w14:paraId="21664891" w14:textId="77777777" w:rsidR="00DB2F71" w:rsidRDefault="00DB2F71" w:rsidP="009D181E">
      <w:pPr>
        <w:keepNext/>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3AF70A7F" w14:textId="77777777" w:rsidTr="00FE4A7A">
        <w:tc>
          <w:tcPr>
            <w:tcW w:w="4158" w:type="dxa"/>
            <w:tcBorders>
              <w:bottom w:val="single" w:sz="4" w:space="0" w:color="auto"/>
            </w:tcBorders>
            <w:shd w:val="clear" w:color="auto" w:fill="DCDCFF"/>
          </w:tcPr>
          <w:p w14:paraId="6BFAA12A"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905B4D5"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6624568F" w14:textId="77777777" w:rsidTr="00DB2F71">
        <w:tc>
          <w:tcPr>
            <w:tcW w:w="4158" w:type="dxa"/>
            <w:shd w:val="clear" w:color="auto" w:fill="CDFFCD"/>
          </w:tcPr>
          <w:p w14:paraId="325A900A"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754AAAB"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2A4FCF63" w14:textId="77777777" w:rsidTr="00DB2F71">
        <w:tc>
          <w:tcPr>
            <w:tcW w:w="4158" w:type="dxa"/>
          </w:tcPr>
          <w:p w14:paraId="1B19902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3EBB163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52D3E487"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5F2E789" w14:textId="77777777" w:rsidR="007D62B4" w:rsidRDefault="003E1E03" w:rsidP="007D62B4">
      <w:pPr>
        <w:pStyle w:val="SectHead"/>
      </w:pPr>
      <w:r>
        <w:lastRenderedPageBreak/>
        <w:t>Findings</w:t>
      </w:r>
    </w:p>
    <w:p w14:paraId="72A93A19"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2F0433BD" w14:textId="77777777" w:rsidTr="007F5823">
        <w:tc>
          <w:tcPr>
            <w:tcW w:w="735" w:type="dxa"/>
            <w:tcBorders>
              <w:bottom w:val="single" w:sz="4" w:space="0" w:color="auto"/>
            </w:tcBorders>
            <w:shd w:val="clear" w:color="auto" w:fill="DCDCFF"/>
          </w:tcPr>
          <w:p w14:paraId="6126CE49"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28C4B471"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1D4B1870"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64F53BCE"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5E3DD01A" w14:textId="77777777" w:rsidTr="007F5823">
        <w:tc>
          <w:tcPr>
            <w:tcW w:w="735" w:type="dxa"/>
            <w:tcBorders>
              <w:bottom w:val="single" w:sz="4" w:space="0" w:color="auto"/>
            </w:tcBorders>
            <w:shd w:val="clear" w:color="auto" w:fill="DCDCFF"/>
            <w:vAlign w:val="center"/>
          </w:tcPr>
          <w:p w14:paraId="4F41B4B3"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26BE051B"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62D69A9F"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5DF6C058"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7803C1C7" w14:textId="77777777" w:rsidTr="007F5823">
        <w:tc>
          <w:tcPr>
            <w:tcW w:w="735" w:type="dxa"/>
            <w:tcBorders>
              <w:bottom w:val="single" w:sz="4" w:space="0" w:color="auto"/>
            </w:tcBorders>
            <w:shd w:val="clear" w:color="auto" w:fill="DCDCFF"/>
            <w:vAlign w:val="center"/>
          </w:tcPr>
          <w:p w14:paraId="04655103"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3DE19238"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11B335AE"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231F04B1"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56981275" w14:textId="77777777" w:rsidTr="007F5823">
        <w:tc>
          <w:tcPr>
            <w:tcW w:w="735" w:type="dxa"/>
            <w:tcBorders>
              <w:bottom w:val="single" w:sz="4" w:space="0" w:color="auto"/>
            </w:tcBorders>
            <w:shd w:val="clear" w:color="auto" w:fill="DCDCFF"/>
            <w:vAlign w:val="center"/>
          </w:tcPr>
          <w:p w14:paraId="432DFA6F"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55ED5A00"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0DA29E80"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32A74894" w14:textId="77777777" w:rsidR="003E1E03" w:rsidRPr="00705BB3" w:rsidRDefault="003E1E03" w:rsidP="003062CC">
            <w:pPr>
              <w:widowControl w:val="0"/>
              <w:rPr>
                <w:rFonts w:asciiTheme="minorHAnsi" w:hAnsiTheme="minorHAnsi" w:cs="Times New Roman"/>
                <w:bCs/>
                <w:color w:val="auto"/>
                <w:sz w:val="22"/>
                <w:szCs w:val="22"/>
              </w:rPr>
            </w:pPr>
          </w:p>
        </w:tc>
      </w:tr>
    </w:tbl>
    <w:p w14:paraId="2308F14A" w14:textId="77777777" w:rsidR="00866825" w:rsidRPr="006C43BC" w:rsidRDefault="00866825"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6C43BC" w14:paraId="443346B4" w14:textId="77777777" w:rsidTr="009D181E">
        <w:tc>
          <w:tcPr>
            <w:tcW w:w="736" w:type="dxa"/>
            <w:shd w:val="clear" w:color="auto" w:fill="DCDCFF"/>
          </w:tcPr>
          <w:p w14:paraId="291D751B" w14:textId="77777777" w:rsidR="007D62B4" w:rsidRPr="006C43BC" w:rsidRDefault="007D62B4"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6A2262C0" w14:textId="77777777" w:rsidR="007D62B4" w:rsidRPr="006C43BC" w:rsidRDefault="007D62B4" w:rsidP="003062CC">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7CCB2708" w14:textId="77777777" w:rsidTr="009D181E">
        <w:tc>
          <w:tcPr>
            <w:tcW w:w="736" w:type="dxa"/>
          </w:tcPr>
          <w:p w14:paraId="7E2C30E4"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005CA24D" w14:textId="77777777" w:rsidR="007D62B4" w:rsidRPr="00705BB3" w:rsidRDefault="007D62B4" w:rsidP="003062CC">
            <w:pPr>
              <w:widowControl w:val="0"/>
              <w:rPr>
                <w:rFonts w:asciiTheme="minorHAnsi" w:hAnsiTheme="minorHAnsi" w:cs="Times New Roman"/>
                <w:bCs/>
                <w:color w:val="auto"/>
                <w:sz w:val="22"/>
                <w:szCs w:val="22"/>
              </w:rPr>
            </w:pPr>
          </w:p>
        </w:tc>
      </w:tr>
      <w:tr w:rsidR="00705BB3" w:rsidRPr="00705BB3" w14:paraId="58689A31" w14:textId="77777777" w:rsidTr="009D181E">
        <w:tc>
          <w:tcPr>
            <w:tcW w:w="736" w:type="dxa"/>
          </w:tcPr>
          <w:p w14:paraId="18A54D8E"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189CF4D0" w14:textId="77777777" w:rsidR="007D62B4" w:rsidRPr="00705BB3" w:rsidRDefault="007D62B4" w:rsidP="003062CC">
            <w:pPr>
              <w:widowControl w:val="0"/>
              <w:rPr>
                <w:rFonts w:asciiTheme="minorHAnsi" w:hAnsiTheme="minorHAnsi" w:cs="Times New Roman"/>
                <w:bCs/>
                <w:color w:val="auto"/>
                <w:sz w:val="22"/>
                <w:szCs w:val="22"/>
              </w:rPr>
            </w:pPr>
          </w:p>
        </w:tc>
      </w:tr>
      <w:tr w:rsidR="00705BB3" w:rsidRPr="00705BB3" w14:paraId="2AF26974" w14:textId="77777777" w:rsidTr="009D181E">
        <w:tc>
          <w:tcPr>
            <w:tcW w:w="736" w:type="dxa"/>
          </w:tcPr>
          <w:p w14:paraId="3FF02058"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7A15A1F0" w14:textId="77777777" w:rsidR="007D62B4" w:rsidRPr="00705BB3" w:rsidRDefault="007D62B4" w:rsidP="003062CC">
            <w:pPr>
              <w:widowControl w:val="0"/>
              <w:rPr>
                <w:rFonts w:asciiTheme="minorHAnsi" w:hAnsiTheme="minorHAnsi" w:cs="Times New Roman"/>
                <w:bCs/>
                <w:color w:val="auto"/>
                <w:sz w:val="22"/>
                <w:szCs w:val="22"/>
              </w:rPr>
            </w:pPr>
          </w:p>
        </w:tc>
      </w:tr>
    </w:tbl>
    <w:p w14:paraId="30C444F5"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72B0CBF" w14:textId="77777777" w:rsidTr="003062CC">
        <w:tc>
          <w:tcPr>
            <w:tcW w:w="738" w:type="dxa"/>
            <w:shd w:val="clear" w:color="auto" w:fill="DCDCFF"/>
          </w:tcPr>
          <w:p w14:paraId="74963F38"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3044DD7"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172F0732" w14:textId="77777777" w:rsidTr="003062CC">
        <w:tc>
          <w:tcPr>
            <w:tcW w:w="738" w:type="dxa"/>
          </w:tcPr>
          <w:p w14:paraId="6994B47B"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08DCBC43"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7997BD96" w14:textId="77777777" w:rsidTr="003062CC">
        <w:tc>
          <w:tcPr>
            <w:tcW w:w="738" w:type="dxa"/>
          </w:tcPr>
          <w:p w14:paraId="0233CD21"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185114CD"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3797648E" w14:textId="77777777" w:rsidTr="003062CC">
        <w:tc>
          <w:tcPr>
            <w:tcW w:w="738" w:type="dxa"/>
          </w:tcPr>
          <w:p w14:paraId="4D510E6A"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39A2DA24" w14:textId="77777777" w:rsidR="00CF0C11" w:rsidRPr="00705BB3" w:rsidRDefault="00CF0C11" w:rsidP="003062CC">
            <w:pPr>
              <w:widowControl w:val="0"/>
              <w:rPr>
                <w:rFonts w:asciiTheme="minorHAnsi" w:hAnsiTheme="minorHAnsi" w:cs="Times New Roman"/>
                <w:bCs/>
                <w:color w:val="auto"/>
                <w:sz w:val="22"/>
                <w:szCs w:val="22"/>
              </w:rPr>
            </w:pPr>
          </w:p>
        </w:tc>
      </w:tr>
    </w:tbl>
    <w:p w14:paraId="45F96E62"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469B3BAB" w14:textId="77777777" w:rsidTr="003062CC">
        <w:tc>
          <w:tcPr>
            <w:tcW w:w="738" w:type="dxa"/>
            <w:shd w:val="clear" w:color="auto" w:fill="DCDCFF"/>
          </w:tcPr>
          <w:p w14:paraId="0D0C746E"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1DB56BC"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C9A815F" w14:textId="77777777" w:rsidTr="003062CC">
        <w:tc>
          <w:tcPr>
            <w:tcW w:w="738" w:type="dxa"/>
          </w:tcPr>
          <w:p w14:paraId="4C4CF300"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3F1325B6"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2E5F4E36" w14:textId="77777777" w:rsidTr="003062CC">
        <w:tc>
          <w:tcPr>
            <w:tcW w:w="738" w:type="dxa"/>
          </w:tcPr>
          <w:p w14:paraId="2E61F394"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7ECA34FA"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571F200B" w14:textId="77777777" w:rsidTr="003062CC">
        <w:tc>
          <w:tcPr>
            <w:tcW w:w="738" w:type="dxa"/>
          </w:tcPr>
          <w:p w14:paraId="19483CF8"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0357B749" w14:textId="77777777" w:rsidR="00CF0C11" w:rsidRPr="00705BB3" w:rsidRDefault="00CF0C11" w:rsidP="003062CC">
            <w:pPr>
              <w:widowControl w:val="0"/>
              <w:rPr>
                <w:rFonts w:asciiTheme="minorHAnsi" w:hAnsiTheme="minorHAnsi" w:cs="Times New Roman"/>
                <w:bCs/>
                <w:color w:val="auto"/>
                <w:sz w:val="22"/>
                <w:szCs w:val="22"/>
              </w:rPr>
            </w:pPr>
          </w:p>
        </w:tc>
      </w:tr>
    </w:tbl>
    <w:p w14:paraId="601D2C7F"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A40F08F" w14:textId="77777777" w:rsidR="0039464A" w:rsidRPr="008F56D6" w:rsidRDefault="0039464A" w:rsidP="007D62B4">
      <w:pPr>
        <w:pStyle w:val="SectHead"/>
      </w:pPr>
      <w:r w:rsidRPr="006C43BC">
        <w:lastRenderedPageBreak/>
        <w:t>Subject Matter Experts</w:t>
      </w:r>
      <w:bookmarkEnd w:id="0"/>
    </w:p>
    <w:p w14:paraId="0859716C"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6A60FD0C" w14:textId="77777777" w:rsidR="00A5228E" w:rsidRPr="006C43BC" w:rsidRDefault="00A5228E" w:rsidP="00EC4830">
      <w:pPr>
        <w:widowControl w:val="0"/>
        <w:rPr>
          <w:rFonts w:asciiTheme="minorHAnsi" w:hAnsiTheme="minorHAnsi" w:cs="Times New Roman"/>
          <w:b/>
          <w:bCs/>
        </w:rPr>
      </w:pPr>
    </w:p>
    <w:p w14:paraId="25D893C5"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79C328B2" w14:textId="77777777" w:rsidTr="00FE4A7A">
        <w:tc>
          <w:tcPr>
            <w:tcW w:w="2754" w:type="dxa"/>
            <w:shd w:val="clear" w:color="auto" w:fill="DCDCFF"/>
          </w:tcPr>
          <w:p w14:paraId="00A9C15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0B69DE4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777FFBF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03F2195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3CA49EC6" w14:textId="77777777" w:rsidTr="00705BB3">
        <w:tc>
          <w:tcPr>
            <w:tcW w:w="2754" w:type="dxa"/>
            <w:shd w:val="clear" w:color="auto" w:fill="CDFFCD"/>
          </w:tcPr>
          <w:p w14:paraId="4EFD2BCD"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1862A1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730AA826"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7AE19F2E"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7E0C356B" w14:textId="77777777" w:rsidTr="00705BB3">
        <w:tc>
          <w:tcPr>
            <w:tcW w:w="2754" w:type="dxa"/>
            <w:shd w:val="clear" w:color="auto" w:fill="CDFFCD"/>
          </w:tcPr>
          <w:p w14:paraId="126BDD8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F1E8EC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259845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F3637ED"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75E2A989" w14:textId="77777777" w:rsidTr="00705BB3">
        <w:tc>
          <w:tcPr>
            <w:tcW w:w="2754" w:type="dxa"/>
            <w:shd w:val="clear" w:color="auto" w:fill="CDFFCD"/>
          </w:tcPr>
          <w:p w14:paraId="356A3E2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7DF812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469F82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062B5BB" w14:textId="77777777" w:rsidR="00A07D34" w:rsidRPr="00705BB3" w:rsidRDefault="00A07D34" w:rsidP="006C43BC">
            <w:pPr>
              <w:widowControl w:val="0"/>
              <w:rPr>
                <w:rFonts w:asciiTheme="minorHAnsi" w:hAnsiTheme="minorHAnsi" w:cs="Times New Roman"/>
                <w:bCs/>
                <w:color w:val="auto"/>
                <w:sz w:val="22"/>
                <w:szCs w:val="22"/>
              </w:rPr>
            </w:pPr>
          </w:p>
        </w:tc>
      </w:tr>
    </w:tbl>
    <w:p w14:paraId="138EEE79"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6D5F5B9D" w14:textId="77777777" w:rsidR="00F04DA8" w:rsidRPr="00A3536E" w:rsidRDefault="00F04DA8" w:rsidP="00F04DA8">
      <w:pPr>
        <w:pStyle w:val="SectHead"/>
      </w:pPr>
      <w:r w:rsidRPr="00A3536E">
        <w:lastRenderedPageBreak/>
        <w:t>R1 Supporting Evidence and Documentation</w:t>
      </w:r>
    </w:p>
    <w:p w14:paraId="7E4A970F" w14:textId="77777777" w:rsidR="00601C53" w:rsidRDefault="00601C53" w:rsidP="008B2232">
      <w:pPr>
        <w:pStyle w:val="Requirement"/>
        <w:rPr>
          <w:rFonts w:asciiTheme="minorHAnsi" w:hAnsiTheme="minorHAnsi"/>
          <w:sz w:val="22"/>
          <w:szCs w:val="22"/>
        </w:rPr>
      </w:pPr>
      <w:r w:rsidRPr="00601C53">
        <w:rPr>
          <w:rFonts w:asciiTheme="minorHAnsi" w:hAnsiTheme="minorHAnsi"/>
          <w:sz w:val="22"/>
          <w:szCs w:val="22"/>
        </w:rPr>
        <w:t xml:space="preserve">Each </w:t>
      </w:r>
      <w:r w:rsidRPr="000D6E37">
        <w:rPr>
          <w:rFonts w:asciiTheme="minorHAnsi" w:hAnsiTheme="minorHAnsi"/>
          <w:sz w:val="22"/>
          <w:szCs w:val="22"/>
        </w:rPr>
        <w:t>Reliability Coordinator</w:t>
      </w:r>
      <w:r w:rsidRPr="00601C53">
        <w:rPr>
          <w:rFonts w:asciiTheme="minorHAnsi" w:hAnsiTheme="minorHAnsi"/>
          <w:sz w:val="22"/>
          <w:szCs w:val="22"/>
        </w:rPr>
        <w:t xml:space="preserve"> shall develop, maintain, and implement a GMD Operating Plan that coordinates GMD Operating Procedures or Operating Processes within its Reliability Coordinator Area. At a minimum, the GMD Operating Plan shall include:</w:t>
      </w:r>
    </w:p>
    <w:p w14:paraId="0E921290" w14:textId="77777777" w:rsidR="00B45790" w:rsidRPr="00B45790" w:rsidRDefault="00601C53" w:rsidP="00B45790">
      <w:pPr>
        <w:pStyle w:val="Requirement"/>
        <w:numPr>
          <w:ilvl w:val="1"/>
          <w:numId w:val="1"/>
        </w:numPr>
        <w:rPr>
          <w:rFonts w:asciiTheme="minorHAnsi" w:hAnsiTheme="minorHAnsi"/>
          <w:sz w:val="22"/>
          <w:szCs w:val="22"/>
        </w:rPr>
      </w:pPr>
      <w:r w:rsidRPr="00601C53">
        <w:rPr>
          <w:rFonts w:asciiTheme="minorHAnsi" w:hAnsiTheme="minorHAnsi"/>
          <w:sz w:val="22"/>
          <w:szCs w:val="22"/>
        </w:rPr>
        <w:t>A description of activities designed to mitigate the effects of GMD events on the reliable operation of the interconnected transmission system within the Reliability Coordinator Area.</w:t>
      </w:r>
    </w:p>
    <w:p w14:paraId="14DED863" w14:textId="77777777" w:rsidR="00B45790" w:rsidRPr="00B45790" w:rsidRDefault="00601C53" w:rsidP="00B45790">
      <w:pPr>
        <w:pStyle w:val="Requirement"/>
        <w:numPr>
          <w:ilvl w:val="1"/>
          <w:numId w:val="1"/>
        </w:numPr>
        <w:rPr>
          <w:rFonts w:asciiTheme="minorHAnsi" w:hAnsiTheme="minorHAnsi"/>
          <w:sz w:val="22"/>
          <w:szCs w:val="22"/>
        </w:rPr>
      </w:pPr>
      <w:r w:rsidRPr="00601C53">
        <w:rPr>
          <w:rFonts w:asciiTheme="minorHAnsi" w:hAnsiTheme="minorHAnsi"/>
          <w:sz w:val="22"/>
          <w:szCs w:val="22"/>
        </w:rPr>
        <w:t>A process for the Reliability Coordinator to review the GMD Operating Procedures or Operating Processes of Transmission Operators within its Reliability Coordinator Area.</w:t>
      </w:r>
    </w:p>
    <w:p w14:paraId="441FF8AD" w14:textId="566A473C" w:rsidR="008B2232" w:rsidRPr="008B2232" w:rsidRDefault="00601C53" w:rsidP="008B2232">
      <w:pPr>
        <w:pStyle w:val="Measure"/>
        <w:rPr>
          <w:rFonts w:asciiTheme="minorHAnsi" w:hAnsiTheme="minorHAnsi"/>
          <w:sz w:val="22"/>
          <w:szCs w:val="22"/>
        </w:rPr>
      </w:pPr>
      <w:r w:rsidRPr="00601C53">
        <w:rPr>
          <w:rFonts w:asciiTheme="minorHAnsi" w:hAnsiTheme="minorHAnsi"/>
          <w:sz w:val="22"/>
          <w:szCs w:val="22"/>
        </w:rPr>
        <w:t>Each Reliability Coordinator shall have a current GMD Operating Plan meeting all the provisions of Requirement R1; evidence such as a review or revision history to indicate that the GMD Operating Plan has been maintained; and evidence to show that the plan was implemented as called for in its GMD Operating Plan, such as dated operator logs, voice recordings, or voice transcripts.</w:t>
      </w:r>
      <w:r w:rsidR="00E73E4E">
        <w:rPr>
          <w:rFonts w:asciiTheme="minorHAnsi" w:hAnsiTheme="minorHAnsi"/>
          <w:sz w:val="22"/>
          <w:szCs w:val="22"/>
        </w:rPr>
        <w:t xml:space="preserve"> </w:t>
      </w:r>
    </w:p>
    <w:p w14:paraId="545822AC" w14:textId="77777777" w:rsidR="00F04DA8" w:rsidRPr="006C43BC" w:rsidRDefault="00F04DA8" w:rsidP="00F04DA8">
      <w:pPr>
        <w:widowControl w:val="0"/>
        <w:tabs>
          <w:tab w:val="left" w:pos="0"/>
        </w:tabs>
        <w:rPr>
          <w:rFonts w:asciiTheme="minorHAnsi" w:hAnsiTheme="minorHAnsi" w:cs="Times New Roman"/>
          <w:b/>
          <w:bCs/>
        </w:rPr>
      </w:pPr>
    </w:p>
    <w:p w14:paraId="5436FE25" w14:textId="77777777" w:rsidR="00F04DA8"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5FF26FF" w14:textId="77777777" w:rsidR="005D5112" w:rsidRPr="006C43BC" w:rsidRDefault="005D5112" w:rsidP="00F04DA8">
      <w:pPr>
        <w:widowControl w:val="0"/>
        <w:rPr>
          <w:rFonts w:asciiTheme="minorHAnsi" w:hAnsiTheme="minorHAnsi" w:cs="Times New Roman"/>
          <w:b/>
          <w:bCs/>
          <w:color w:val="264D74"/>
        </w:rPr>
      </w:pPr>
    </w:p>
    <w:p w14:paraId="5CC0AD3A"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6C27777"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E03541">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4D6DF190" w14:textId="77777777" w:rsidR="00F04DA8" w:rsidRPr="00705BB3" w:rsidRDefault="00F04DA8" w:rsidP="00F04DA8">
      <w:pPr>
        <w:widowControl w:val="0"/>
        <w:shd w:val="clear" w:color="auto" w:fill="CDFFCD"/>
        <w:jc w:val="both"/>
        <w:rPr>
          <w:rFonts w:asciiTheme="minorHAnsi" w:hAnsiTheme="minorHAnsi" w:cs="Times New Roman"/>
          <w:bCs/>
          <w:color w:val="auto"/>
          <w:sz w:val="22"/>
          <w:szCs w:val="22"/>
        </w:rPr>
      </w:pPr>
    </w:p>
    <w:p w14:paraId="0DD8F948" w14:textId="77777777" w:rsidR="00F04DA8" w:rsidRPr="00705BB3" w:rsidRDefault="00F04DA8" w:rsidP="00F04DA8">
      <w:pPr>
        <w:widowControl w:val="0"/>
        <w:shd w:val="clear" w:color="auto" w:fill="CDFFCD"/>
        <w:jc w:val="both"/>
        <w:rPr>
          <w:rFonts w:asciiTheme="minorHAnsi" w:hAnsiTheme="minorHAnsi" w:cs="Times New Roman"/>
          <w:bCs/>
          <w:color w:val="auto"/>
          <w:sz w:val="22"/>
          <w:szCs w:val="22"/>
        </w:rPr>
      </w:pPr>
    </w:p>
    <w:p w14:paraId="57DFFC12" w14:textId="77777777" w:rsidR="00F04DA8" w:rsidRPr="006C43BC" w:rsidRDefault="00F04DA8" w:rsidP="00F04DA8">
      <w:pPr>
        <w:widowControl w:val="0"/>
        <w:spacing w:line="266" w:lineRule="exact"/>
        <w:rPr>
          <w:rFonts w:asciiTheme="minorHAnsi" w:hAnsiTheme="minorHAnsi" w:cs="Times New Roman"/>
          <w:b/>
          <w:bCs/>
        </w:rPr>
      </w:pPr>
    </w:p>
    <w:p w14:paraId="46D6323A" w14:textId="77777777" w:rsidR="00F04DA8" w:rsidRPr="006C43BC" w:rsidRDefault="00F04DA8" w:rsidP="00F04DA8">
      <w:pPr>
        <w:pStyle w:val="RqtSection"/>
        <w:rPr>
          <w:rFonts w:cstheme="minorHAnsi"/>
          <w:i/>
          <w:iCs/>
        </w:rPr>
      </w:pPr>
      <w:r>
        <w:t>Evidence Requested</w:t>
      </w:r>
      <w:r w:rsidRPr="006C43BC">
        <w:t>:</w:t>
      </w:r>
      <w:r w:rsidR="00CF23FB">
        <w:rPr>
          <w:rStyle w:val="EndnoteReference"/>
        </w:rPr>
        <w:endnoteReference w:id="2"/>
      </w:r>
    </w:p>
    <w:tbl>
      <w:tblPr>
        <w:tblStyle w:val="TableGrid"/>
        <w:tblW w:w="10975" w:type="dxa"/>
        <w:shd w:val="clear" w:color="auto" w:fill="DCDCFF"/>
        <w:tblLook w:val="04A0" w:firstRow="1" w:lastRow="0" w:firstColumn="1" w:lastColumn="0" w:noHBand="0" w:noVBand="1"/>
      </w:tblPr>
      <w:tblGrid>
        <w:gridCol w:w="10975"/>
      </w:tblGrid>
      <w:tr w:rsidR="00F04DA8" w:rsidRPr="006C43BC" w14:paraId="36310250" w14:textId="77777777" w:rsidTr="0064785C">
        <w:tc>
          <w:tcPr>
            <w:tcW w:w="10975" w:type="dxa"/>
            <w:shd w:val="clear" w:color="auto" w:fill="DCDCFF"/>
          </w:tcPr>
          <w:p w14:paraId="2251C64B"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73F69" w:rsidRPr="00676D1E" w14:paraId="1BC685C1" w14:textId="77777777" w:rsidTr="0064785C">
        <w:tc>
          <w:tcPr>
            <w:tcW w:w="10975" w:type="dxa"/>
            <w:shd w:val="clear" w:color="auto" w:fill="DCDCFF"/>
          </w:tcPr>
          <w:p w14:paraId="124FD5B7" w14:textId="153C5A0A" w:rsidR="00673F69" w:rsidRDefault="00487ACC" w:rsidP="005F514E">
            <w:pPr>
              <w:widowControl w:val="0"/>
              <w:jc w:val="both"/>
              <w:rPr>
                <w:rFonts w:asciiTheme="minorHAnsi" w:hAnsiTheme="minorHAnsi" w:cs="Times New Roman"/>
                <w:color w:val="auto"/>
              </w:rPr>
            </w:pPr>
            <w:r>
              <w:rPr>
                <w:rFonts w:asciiTheme="minorHAnsi" w:hAnsiTheme="minorHAnsi" w:cs="Times New Roman"/>
                <w:color w:val="auto"/>
              </w:rPr>
              <w:t>Evidence</w:t>
            </w:r>
            <w:r w:rsidR="00F95FA5">
              <w:rPr>
                <w:rFonts w:asciiTheme="minorHAnsi" w:hAnsiTheme="minorHAnsi" w:cs="Times New Roman"/>
                <w:color w:val="auto"/>
              </w:rPr>
              <w:t xml:space="preserve"> </w:t>
            </w:r>
            <w:r w:rsidR="005F514E">
              <w:rPr>
                <w:rFonts w:asciiTheme="minorHAnsi" w:hAnsiTheme="minorHAnsi" w:cs="Times New Roman"/>
                <w:color w:val="auto"/>
              </w:rPr>
              <w:t>identifying</w:t>
            </w:r>
            <w:r w:rsidR="00F95FA5">
              <w:rPr>
                <w:rFonts w:asciiTheme="minorHAnsi" w:hAnsiTheme="minorHAnsi" w:cs="Times New Roman"/>
                <w:color w:val="auto"/>
              </w:rPr>
              <w:t xml:space="preserve"> GMD event(s) occurring during the compliance monitoring period</w:t>
            </w:r>
            <w:r w:rsidR="005F514E">
              <w:rPr>
                <w:rFonts w:asciiTheme="minorHAnsi" w:hAnsiTheme="minorHAnsi" w:cs="Times New Roman"/>
                <w:color w:val="auto"/>
              </w:rPr>
              <w:t xml:space="preserve"> to verify implementation of the plan</w:t>
            </w:r>
            <w:r w:rsidR="00F95FA5">
              <w:rPr>
                <w:rFonts w:asciiTheme="minorHAnsi" w:hAnsiTheme="minorHAnsi" w:cs="Times New Roman"/>
                <w:color w:val="auto"/>
              </w:rPr>
              <w:t>.</w:t>
            </w:r>
            <w:r w:rsidR="0013224E">
              <w:rPr>
                <w:rFonts w:asciiTheme="minorHAnsi" w:hAnsiTheme="minorHAnsi" w:cs="Times New Roman"/>
                <w:color w:val="auto"/>
              </w:rPr>
              <w:t xml:space="preserve"> </w:t>
            </w:r>
          </w:p>
        </w:tc>
      </w:tr>
      <w:tr w:rsidR="00F04DA8" w:rsidRPr="00676D1E" w14:paraId="5C4F7B31" w14:textId="77777777" w:rsidTr="0064785C">
        <w:tc>
          <w:tcPr>
            <w:tcW w:w="10975" w:type="dxa"/>
            <w:shd w:val="clear" w:color="auto" w:fill="DCDCFF"/>
          </w:tcPr>
          <w:p w14:paraId="11329374" w14:textId="635F0F0E" w:rsidR="00F04DA8" w:rsidRDefault="00E03541" w:rsidP="004E0517">
            <w:pPr>
              <w:widowControl w:val="0"/>
              <w:jc w:val="both"/>
              <w:rPr>
                <w:rFonts w:asciiTheme="minorHAnsi" w:hAnsiTheme="minorHAnsi" w:cs="Times New Roman"/>
                <w:color w:val="auto"/>
              </w:rPr>
            </w:pPr>
            <w:r>
              <w:rPr>
                <w:rFonts w:asciiTheme="minorHAnsi" w:hAnsiTheme="minorHAnsi" w:cs="Times New Roman"/>
                <w:color w:val="auto"/>
              </w:rPr>
              <w:t xml:space="preserve">Provide documented </w:t>
            </w:r>
            <w:r w:rsidR="004E0517">
              <w:rPr>
                <w:rFonts w:asciiTheme="minorHAnsi" w:hAnsiTheme="minorHAnsi" w:cs="Times New Roman"/>
                <w:color w:val="auto"/>
              </w:rPr>
              <w:t xml:space="preserve">GMD Operating </w:t>
            </w:r>
            <w:r>
              <w:rPr>
                <w:rFonts w:asciiTheme="minorHAnsi" w:hAnsiTheme="minorHAnsi" w:cs="Times New Roman"/>
                <w:color w:val="auto"/>
              </w:rPr>
              <w:t>plan.</w:t>
            </w:r>
          </w:p>
        </w:tc>
      </w:tr>
      <w:tr w:rsidR="00542EAA" w:rsidRPr="00676D1E" w14:paraId="5FE62F01" w14:textId="77777777" w:rsidTr="0064785C">
        <w:tc>
          <w:tcPr>
            <w:tcW w:w="10975" w:type="dxa"/>
            <w:shd w:val="clear" w:color="auto" w:fill="DCDCFF"/>
          </w:tcPr>
          <w:p w14:paraId="7035ED86" w14:textId="50D17103" w:rsidR="00542EAA" w:rsidRDefault="00542EAA" w:rsidP="004E0517">
            <w:pPr>
              <w:widowControl w:val="0"/>
              <w:jc w:val="both"/>
              <w:rPr>
                <w:rFonts w:asciiTheme="minorHAnsi" w:hAnsiTheme="minorHAnsi" w:cs="Times New Roman"/>
                <w:color w:val="auto"/>
              </w:rPr>
            </w:pPr>
            <w:r>
              <w:rPr>
                <w:rFonts w:asciiTheme="minorHAnsi" w:hAnsiTheme="minorHAnsi" w:cs="Times New Roman"/>
                <w:color w:val="auto"/>
              </w:rPr>
              <w:t xml:space="preserve">Evidence of implementation, such as operator logs, voice recordings, or other communications, for times when </w:t>
            </w:r>
            <w:r w:rsidR="00951EC6">
              <w:rPr>
                <w:rFonts w:asciiTheme="minorHAnsi" w:hAnsiTheme="minorHAnsi" w:cs="Times New Roman"/>
                <w:color w:val="auto"/>
              </w:rPr>
              <w:t>the GMD Operating Plan was executed during a GMD event</w:t>
            </w:r>
            <w:r>
              <w:rPr>
                <w:rFonts w:asciiTheme="minorHAnsi" w:hAnsiTheme="minorHAnsi" w:cs="Times New Roman"/>
                <w:color w:val="auto"/>
              </w:rPr>
              <w:t>.</w:t>
            </w:r>
          </w:p>
        </w:tc>
      </w:tr>
    </w:tbl>
    <w:p w14:paraId="1CA626FC" w14:textId="77777777" w:rsidR="00F04DA8" w:rsidRDefault="00F04DA8" w:rsidP="00F04DA8">
      <w:pPr>
        <w:widowControl w:val="0"/>
        <w:spacing w:line="266" w:lineRule="exact"/>
        <w:rPr>
          <w:rFonts w:asciiTheme="minorHAnsi" w:hAnsiTheme="minorHAnsi" w:cs="Times New Roman"/>
          <w:b/>
          <w:bCs/>
          <w:color w:val="auto"/>
        </w:rPr>
      </w:pPr>
    </w:p>
    <w:p w14:paraId="2D32616C"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4DA8" w:rsidRPr="00812336" w14:paraId="4EFAF125" w14:textId="77777777" w:rsidTr="003062CC">
        <w:tc>
          <w:tcPr>
            <w:tcW w:w="10995" w:type="dxa"/>
            <w:gridSpan w:val="6"/>
            <w:shd w:val="clear" w:color="auto" w:fill="DCDCFF"/>
            <w:vAlign w:val="bottom"/>
          </w:tcPr>
          <w:p w14:paraId="00D037D7" w14:textId="77777777" w:rsidR="00F04DA8" w:rsidRPr="00812336" w:rsidRDefault="00F04DA8" w:rsidP="0058377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58377B">
              <w:rPr>
                <w:rFonts w:asciiTheme="minorHAnsi" w:hAnsiTheme="minorHAnsi" w:cs="Times New Roman"/>
                <w:b/>
                <w:bCs/>
              </w:rPr>
              <w:t xml:space="preserve"> of</w:t>
            </w:r>
            <w:r w:rsidRPr="00812336">
              <w:rPr>
                <w:rFonts w:asciiTheme="minorHAnsi" w:hAnsiTheme="minorHAnsi" w:cs="Times New Roman"/>
                <w:b/>
                <w:bCs/>
              </w:rPr>
              <w:t xml:space="preserve"> compliance may be found.</w:t>
            </w:r>
          </w:p>
        </w:tc>
      </w:tr>
      <w:tr w:rsidR="00F04DA8" w:rsidRPr="00812336" w14:paraId="05ED4D7A" w14:textId="77777777" w:rsidTr="003062CC">
        <w:tc>
          <w:tcPr>
            <w:tcW w:w="2340" w:type="dxa"/>
            <w:shd w:val="clear" w:color="auto" w:fill="DCDCFF"/>
            <w:vAlign w:val="bottom"/>
          </w:tcPr>
          <w:p w14:paraId="0C020192"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402F6E9"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0C71D50"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1BC69A5"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42DA1C8"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5A42A09"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68B6EC29" w14:textId="77777777" w:rsidTr="003062CC">
        <w:tc>
          <w:tcPr>
            <w:tcW w:w="2340" w:type="dxa"/>
            <w:shd w:val="clear" w:color="auto" w:fill="CDFFCD"/>
          </w:tcPr>
          <w:p w14:paraId="7BC1E94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91E5BB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CB0A9E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072245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5E9AE9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0DAE60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28B2EDEE" w14:textId="77777777" w:rsidTr="003062CC">
        <w:tc>
          <w:tcPr>
            <w:tcW w:w="2340" w:type="dxa"/>
            <w:shd w:val="clear" w:color="auto" w:fill="CDFFCD"/>
          </w:tcPr>
          <w:p w14:paraId="4C8ED06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DD560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F3B4D1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09952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7AB76D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7FB247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0373F345" w14:textId="77777777" w:rsidTr="003062CC">
        <w:tc>
          <w:tcPr>
            <w:tcW w:w="2340" w:type="dxa"/>
            <w:shd w:val="clear" w:color="auto" w:fill="CDFFCD"/>
          </w:tcPr>
          <w:p w14:paraId="735E913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DF6997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6A4F0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65E55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D1BAD0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9CA5D8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12485A03" w14:textId="77777777" w:rsidR="00F04DA8" w:rsidRPr="006C43BC" w:rsidRDefault="00F04DA8" w:rsidP="00F04DA8">
      <w:pPr>
        <w:widowControl w:val="0"/>
        <w:rPr>
          <w:rFonts w:asciiTheme="minorHAnsi" w:hAnsiTheme="minorHAnsi" w:cs="Times New Roman"/>
        </w:rPr>
      </w:pPr>
    </w:p>
    <w:p w14:paraId="7CB1E48D"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F04DA8" w:rsidRPr="00705BB3" w14:paraId="5F8BD260" w14:textId="77777777" w:rsidTr="0064785C">
        <w:tc>
          <w:tcPr>
            <w:tcW w:w="10975" w:type="dxa"/>
            <w:shd w:val="clear" w:color="auto" w:fill="auto"/>
          </w:tcPr>
          <w:p w14:paraId="4F99EFA8" w14:textId="77777777" w:rsidR="00F04DA8" w:rsidRPr="00705BB3" w:rsidRDefault="00F04DA8" w:rsidP="003062CC">
            <w:pPr>
              <w:widowControl w:val="0"/>
              <w:rPr>
                <w:rFonts w:asciiTheme="minorHAnsi" w:hAnsiTheme="minorHAnsi" w:cs="Times New Roman"/>
                <w:sz w:val="22"/>
                <w:szCs w:val="22"/>
              </w:rPr>
            </w:pPr>
          </w:p>
        </w:tc>
      </w:tr>
      <w:tr w:rsidR="00F04DA8" w:rsidRPr="00705BB3" w14:paraId="6F5BE2E5" w14:textId="77777777" w:rsidTr="0064785C">
        <w:tc>
          <w:tcPr>
            <w:tcW w:w="10975" w:type="dxa"/>
            <w:shd w:val="clear" w:color="auto" w:fill="auto"/>
          </w:tcPr>
          <w:p w14:paraId="12129E9F" w14:textId="77777777" w:rsidR="00F04DA8" w:rsidRPr="00705BB3" w:rsidRDefault="00F04DA8" w:rsidP="003062CC">
            <w:pPr>
              <w:widowControl w:val="0"/>
              <w:rPr>
                <w:rFonts w:asciiTheme="minorHAnsi" w:hAnsiTheme="minorHAnsi" w:cs="Times New Roman"/>
                <w:sz w:val="22"/>
                <w:szCs w:val="22"/>
              </w:rPr>
            </w:pPr>
          </w:p>
        </w:tc>
      </w:tr>
      <w:tr w:rsidR="00F04DA8" w:rsidRPr="00705BB3" w14:paraId="62B5C5DB" w14:textId="77777777" w:rsidTr="0064785C">
        <w:tc>
          <w:tcPr>
            <w:tcW w:w="10975" w:type="dxa"/>
            <w:shd w:val="clear" w:color="auto" w:fill="auto"/>
          </w:tcPr>
          <w:p w14:paraId="331C60AE" w14:textId="77777777" w:rsidR="00F04DA8" w:rsidRPr="00705BB3" w:rsidRDefault="00F04DA8" w:rsidP="003062CC">
            <w:pPr>
              <w:widowControl w:val="0"/>
              <w:rPr>
                <w:rFonts w:asciiTheme="minorHAnsi" w:hAnsiTheme="minorHAnsi" w:cs="Times New Roman"/>
                <w:sz w:val="22"/>
                <w:szCs w:val="22"/>
              </w:rPr>
            </w:pPr>
          </w:p>
        </w:tc>
      </w:tr>
    </w:tbl>
    <w:p w14:paraId="727449CF" w14:textId="77777777" w:rsidR="00F04DA8" w:rsidRPr="006C43BC" w:rsidRDefault="00F04DA8" w:rsidP="00F04DA8">
      <w:pPr>
        <w:widowControl w:val="0"/>
        <w:rPr>
          <w:rFonts w:asciiTheme="minorHAnsi" w:hAnsiTheme="minorHAnsi" w:cs="Times New Roman"/>
        </w:rPr>
      </w:pPr>
    </w:p>
    <w:p w14:paraId="72406F93" w14:textId="2FD97406" w:rsidR="00F04DA8" w:rsidRPr="00722443" w:rsidRDefault="00F04DA8" w:rsidP="00F04DA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114853">
        <w:t>EOP-</w:t>
      </w:r>
      <w:r w:rsidR="00753BB3">
        <w:t>010</w:t>
      </w:r>
      <w:r w:rsidR="00114853">
        <w:t>-1</w:t>
      </w:r>
      <w:r w:rsidRPr="00F548BE">
        <w:t>, R1</w:t>
      </w:r>
    </w:p>
    <w:p w14:paraId="2D055177"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04DA8" w:rsidRPr="00E03541" w14:paraId="33BA49C8" w14:textId="77777777" w:rsidTr="0058377B">
        <w:tc>
          <w:tcPr>
            <w:tcW w:w="374" w:type="dxa"/>
          </w:tcPr>
          <w:p w14:paraId="40130DD5"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60688C9" w14:textId="12E3FD92" w:rsidR="00F04DA8" w:rsidRPr="00E03541" w:rsidRDefault="00E03541" w:rsidP="006C5B03">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 xml:space="preserve">(R1) Confirm </w:t>
            </w:r>
            <w:r w:rsidR="00633F5A">
              <w:rPr>
                <w:rFonts w:asciiTheme="minorHAnsi" w:hAnsiTheme="minorHAnsi" w:cs="Times New Roman"/>
                <w:color w:val="auto"/>
              </w:rPr>
              <w:t xml:space="preserve">the </w:t>
            </w:r>
            <w:r w:rsidR="006C5B03">
              <w:rPr>
                <w:rFonts w:asciiTheme="minorHAnsi" w:hAnsiTheme="minorHAnsi" w:cs="Times New Roman"/>
                <w:color w:val="auto"/>
              </w:rPr>
              <w:t>entity’s</w:t>
            </w:r>
            <w:r w:rsidR="00633F5A">
              <w:rPr>
                <w:rFonts w:asciiTheme="minorHAnsi" w:hAnsiTheme="minorHAnsi" w:cs="Times New Roman"/>
                <w:color w:val="auto"/>
              </w:rPr>
              <w:t xml:space="preserve"> </w:t>
            </w:r>
            <w:r w:rsidR="006C5B03">
              <w:rPr>
                <w:rFonts w:asciiTheme="minorHAnsi" w:hAnsiTheme="minorHAnsi" w:cs="Times New Roman"/>
                <w:color w:val="auto"/>
              </w:rPr>
              <w:t>GMD Operating P</w:t>
            </w:r>
            <w:r w:rsidRPr="0006226D">
              <w:rPr>
                <w:rFonts w:asciiTheme="minorHAnsi" w:hAnsiTheme="minorHAnsi" w:cs="Times New Roman"/>
                <w:color w:val="auto"/>
              </w:rPr>
              <w:t xml:space="preserve">lan was developed </w:t>
            </w:r>
            <w:r w:rsidR="00790F83">
              <w:rPr>
                <w:rFonts w:asciiTheme="minorHAnsi" w:hAnsiTheme="minorHAnsi" w:cs="Times New Roman"/>
                <w:color w:val="auto"/>
              </w:rPr>
              <w:t xml:space="preserve">and maintained </w:t>
            </w:r>
            <w:r w:rsidRPr="0006226D">
              <w:rPr>
                <w:rFonts w:asciiTheme="minorHAnsi" w:hAnsiTheme="minorHAnsi" w:cs="Times New Roman"/>
                <w:color w:val="auto"/>
              </w:rPr>
              <w:t>in accordance with Requirement R1</w:t>
            </w:r>
            <w:r w:rsidR="00633F5A">
              <w:rPr>
                <w:rFonts w:asciiTheme="minorHAnsi" w:hAnsiTheme="minorHAnsi" w:cs="Times New Roman"/>
                <w:color w:val="auto"/>
              </w:rPr>
              <w:t xml:space="preserve"> as follows:</w:t>
            </w:r>
            <w:r w:rsidR="00255D98" w:rsidRPr="00790F83">
              <w:rPr>
                <w:color w:val="auto"/>
              </w:rPr>
              <w:t xml:space="preserve"> </w:t>
            </w:r>
          </w:p>
        </w:tc>
      </w:tr>
      <w:tr w:rsidR="004E0517" w:rsidRPr="00E03541" w14:paraId="4C2ED2E1" w14:textId="77777777" w:rsidTr="0058377B">
        <w:tc>
          <w:tcPr>
            <w:tcW w:w="374" w:type="dxa"/>
          </w:tcPr>
          <w:p w14:paraId="32A2AF02" w14:textId="77777777" w:rsidR="004E0517" w:rsidRPr="00E03541" w:rsidRDefault="004E0517"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6209CDF" w14:textId="4F83763F" w:rsidR="004E0517" w:rsidRDefault="004E0517" w:rsidP="004E0517">
            <w:pPr>
              <w:pStyle w:val="Default"/>
              <w:rPr>
                <w:color w:val="auto"/>
              </w:rPr>
            </w:pPr>
            <w:r>
              <w:rPr>
                <w:color w:val="auto"/>
              </w:rPr>
              <w:t>(Part 1.1) Verify</w:t>
            </w:r>
            <w:r w:rsidR="0064785C">
              <w:rPr>
                <w:color w:val="auto"/>
              </w:rPr>
              <w:t xml:space="preserve"> the</w:t>
            </w:r>
            <w:r>
              <w:rPr>
                <w:color w:val="auto"/>
              </w:rPr>
              <w:t xml:space="preserve"> plan includes a description of activities</w:t>
            </w:r>
            <w:r w:rsidRPr="00790F83">
              <w:rPr>
                <w:color w:val="auto"/>
              </w:rPr>
              <w:t xml:space="preserve"> </w:t>
            </w:r>
            <w:r w:rsidRPr="004E0517">
              <w:rPr>
                <w:color w:val="auto"/>
              </w:rPr>
              <w:t xml:space="preserve">to mitigate the effects of GMD events on the reliable operation of the interconnected transmission system within the Reliability Coordinator Area. </w:t>
            </w:r>
          </w:p>
        </w:tc>
      </w:tr>
      <w:tr w:rsidR="00C22D6F" w:rsidRPr="00E03541" w14:paraId="68B7D6FB" w14:textId="77777777" w:rsidTr="0058377B">
        <w:tc>
          <w:tcPr>
            <w:tcW w:w="374" w:type="dxa"/>
          </w:tcPr>
          <w:p w14:paraId="07EDD9EF" w14:textId="77777777" w:rsidR="00C22D6F" w:rsidRPr="00E03541" w:rsidRDefault="00C22D6F"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ACE55A1" w14:textId="488A6E1F" w:rsidR="00C22D6F" w:rsidRPr="0006226D" w:rsidRDefault="00C22D6F" w:rsidP="0064785C">
            <w:pPr>
              <w:pStyle w:val="Default"/>
              <w:rPr>
                <w:color w:val="auto"/>
              </w:rPr>
            </w:pPr>
            <w:r>
              <w:rPr>
                <w:color w:val="auto"/>
              </w:rPr>
              <w:t xml:space="preserve">(Part 1.2) Verify </w:t>
            </w:r>
            <w:r w:rsidR="00790F83">
              <w:rPr>
                <w:color w:val="auto"/>
              </w:rPr>
              <w:t xml:space="preserve">the plan includes a </w:t>
            </w:r>
            <w:r w:rsidR="00790F83" w:rsidRPr="00790F83">
              <w:rPr>
                <w:color w:val="auto"/>
              </w:rPr>
              <w:t>process for the entity to review the GMD Operating Procedures or Operating Processes of Transmission Operators within its Reliability Coordinator Area.</w:t>
            </w:r>
            <w:r w:rsidR="00790F83">
              <w:rPr>
                <w:color w:val="auto"/>
              </w:rPr>
              <w:t xml:space="preserve"> </w:t>
            </w:r>
          </w:p>
        </w:tc>
      </w:tr>
      <w:tr w:rsidR="00F04DA8" w:rsidRPr="00E03541" w14:paraId="22008172" w14:textId="77777777" w:rsidTr="0058377B">
        <w:tc>
          <w:tcPr>
            <w:tcW w:w="374" w:type="dxa"/>
          </w:tcPr>
          <w:p w14:paraId="0CAD516E"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74626D1" w14:textId="1AC1F3E3" w:rsidR="00790F83" w:rsidRDefault="0006226D" w:rsidP="00790F83">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1</w:t>
            </w:r>
            <w:r w:rsidRPr="0006226D">
              <w:rPr>
                <w:rFonts w:asciiTheme="minorHAnsi" w:hAnsiTheme="minorHAnsi" w:cs="Times New Roman"/>
                <w:color w:val="auto"/>
              </w:rPr>
              <w:t>) Verify implementation of plan</w:t>
            </w:r>
            <w:r w:rsidR="00790F83">
              <w:rPr>
                <w:rFonts w:asciiTheme="minorHAnsi" w:hAnsiTheme="minorHAnsi" w:cs="Times New Roman"/>
                <w:color w:val="auto"/>
              </w:rPr>
              <w:t>:</w:t>
            </w:r>
            <w:r w:rsidR="009A0D86">
              <w:t xml:space="preserve"> </w:t>
            </w:r>
          </w:p>
          <w:p w14:paraId="7DC31920" w14:textId="01194B33" w:rsidR="00790F83" w:rsidRDefault="00790F83" w:rsidP="00790F83">
            <w:pPr>
              <w:pStyle w:val="ListParagraph"/>
              <w:widowControl w:val="0"/>
              <w:numPr>
                <w:ilvl w:val="0"/>
                <w:numId w:val="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Implementation of plan as called for during GMD events listed.</w:t>
            </w:r>
            <w:r w:rsidR="00EE5127">
              <w:rPr>
                <w:rFonts w:asciiTheme="minorHAnsi" w:hAnsiTheme="minorHAnsi" w:cs="Times New Roman"/>
                <w:color w:val="auto"/>
              </w:rPr>
              <w:t xml:space="preserve"> See Note to Auditor below for details regarding assessing implementation of GMD Operating Plan.</w:t>
            </w:r>
          </w:p>
          <w:p w14:paraId="70199F48" w14:textId="23DEBCF3" w:rsidR="00255D98" w:rsidRPr="00790F83" w:rsidRDefault="00790F83" w:rsidP="009A0D86">
            <w:pPr>
              <w:pStyle w:val="ListParagraph"/>
              <w:widowControl w:val="0"/>
              <w:numPr>
                <w:ilvl w:val="0"/>
                <w:numId w:val="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Pr="00790F83">
              <w:rPr>
                <w:rFonts w:asciiTheme="minorHAnsi" w:hAnsiTheme="minorHAnsi" w:cs="Times New Roman"/>
                <w:color w:val="auto"/>
              </w:rPr>
              <w:t xml:space="preserve">eviewed the GMD Operating Procedures or Operating Processes </w:t>
            </w:r>
            <w:r w:rsidR="00255D98">
              <w:rPr>
                <w:rFonts w:asciiTheme="minorHAnsi" w:hAnsiTheme="minorHAnsi" w:cs="Times New Roman"/>
                <w:color w:val="auto"/>
              </w:rPr>
              <w:t>as developed in R</w:t>
            </w:r>
            <w:r w:rsidR="009A0D86">
              <w:rPr>
                <w:rFonts w:asciiTheme="minorHAnsi" w:hAnsiTheme="minorHAnsi" w:cs="Times New Roman"/>
                <w:color w:val="auto"/>
              </w:rPr>
              <w:t>equirement R</w:t>
            </w:r>
            <w:r w:rsidR="00255D98">
              <w:rPr>
                <w:rFonts w:asciiTheme="minorHAnsi" w:hAnsiTheme="minorHAnsi" w:cs="Times New Roman"/>
                <w:color w:val="auto"/>
              </w:rPr>
              <w:t>3 for</w:t>
            </w:r>
            <w:r w:rsidRPr="00790F83">
              <w:rPr>
                <w:rFonts w:asciiTheme="minorHAnsi" w:hAnsiTheme="minorHAnsi" w:cs="Times New Roman"/>
                <w:color w:val="auto"/>
              </w:rPr>
              <w:t xml:space="preserve"> Transmission Operators within its Reliability Coordinator Area</w:t>
            </w:r>
            <w:r w:rsidR="0006226D" w:rsidRPr="00790F83">
              <w:rPr>
                <w:rFonts w:asciiTheme="minorHAnsi" w:hAnsiTheme="minorHAnsi" w:cs="Times New Roman"/>
                <w:color w:val="auto"/>
              </w:rPr>
              <w:t xml:space="preserve">. </w:t>
            </w:r>
          </w:p>
        </w:tc>
      </w:tr>
      <w:tr w:rsidR="00F04DA8" w:rsidRPr="006C43BC" w14:paraId="38B2D50E" w14:textId="77777777" w:rsidTr="0058377B">
        <w:tc>
          <w:tcPr>
            <w:tcW w:w="10790" w:type="dxa"/>
            <w:gridSpan w:val="2"/>
            <w:shd w:val="clear" w:color="auto" w:fill="DCDCFF"/>
          </w:tcPr>
          <w:tbl>
            <w:tblPr>
              <w:tblW w:w="0" w:type="auto"/>
              <w:tblBorders>
                <w:top w:val="nil"/>
                <w:left w:val="nil"/>
                <w:bottom w:val="nil"/>
                <w:right w:val="nil"/>
              </w:tblBorders>
              <w:tblLook w:val="0000" w:firstRow="0" w:lastRow="0" w:firstColumn="0" w:lastColumn="0" w:noHBand="0" w:noVBand="0"/>
            </w:tblPr>
            <w:tblGrid>
              <w:gridCol w:w="10574"/>
            </w:tblGrid>
            <w:tr w:rsidR="0006226D" w:rsidRPr="0031055B" w14:paraId="350E0E28" w14:textId="77777777">
              <w:trPr>
                <w:trHeight w:val="1324"/>
              </w:trPr>
              <w:tc>
                <w:tcPr>
                  <w:tcW w:w="0" w:type="auto"/>
                </w:tcPr>
                <w:p w14:paraId="3688B17E" w14:textId="6C83C83E" w:rsidR="0006226D" w:rsidRPr="0031055B" w:rsidRDefault="00F04DA8" w:rsidP="00E278DC">
                  <w:pPr>
                    <w:rPr>
                      <w:rFonts w:ascii="Calibri" w:hAnsi="Calibri" w:cs="Calibri"/>
                    </w:rPr>
                  </w:pPr>
                  <w:r w:rsidRPr="0031055B">
                    <w:rPr>
                      <w:rFonts w:asciiTheme="minorHAnsi" w:hAnsiTheme="minorHAnsi" w:cs="Times New Roman"/>
                      <w:b/>
                      <w:bCs/>
                      <w:color w:val="auto"/>
                    </w:rPr>
                    <w:t>Note to Auditor:</w:t>
                  </w:r>
                  <w:r w:rsidR="0064785C">
                    <w:rPr>
                      <w:rFonts w:asciiTheme="minorHAnsi" w:hAnsiTheme="minorHAnsi" w:cs="Times New Roman"/>
                      <w:b/>
                      <w:bCs/>
                      <w:color w:val="auto"/>
                    </w:rPr>
                    <w:t xml:space="preserve"> </w:t>
                  </w:r>
                  <w:r w:rsidR="0006226D" w:rsidRPr="0031055B">
                    <w:rPr>
                      <w:rFonts w:ascii="Calibri" w:hAnsi="Calibri" w:cs="Calibri"/>
                    </w:rPr>
                    <w:t xml:space="preserve">Requirement R1 includes implementation of the </w:t>
                  </w:r>
                  <w:r w:rsidR="00355A69">
                    <w:rPr>
                      <w:rFonts w:ascii="Calibri" w:hAnsi="Calibri" w:cs="Calibri"/>
                    </w:rPr>
                    <w:t>GMD</w:t>
                  </w:r>
                  <w:r w:rsidR="0006226D" w:rsidRPr="0031055B">
                    <w:rPr>
                      <w:rFonts w:ascii="Calibri" w:hAnsi="Calibri" w:cs="Calibri"/>
                    </w:rPr>
                    <w:t xml:space="preserve"> Operating Plan. Auditors can gain reasonable assurance the plan was implemented</w:t>
                  </w:r>
                  <w:r w:rsidR="00D63823">
                    <w:rPr>
                      <w:rFonts w:ascii="Calibri" w:hAnsi="Calibri" w:cs="Calibri"/>
                    </w:rPr>
                    <w:t xml:space="preserve"> </w:t>
                  </w:r>
                  <w:r w:rsidR="0006226D" w:rsidRPr="0031055B">
                    <w:rPr>
                      <w:rFonts w:ascii="Calibri" w:hAnsi="Calibri" w:cs="Calibri"/>
                    </w:rPr>
                    <w:t xml:space="preserve">by determining if actions prescribed by the plan have taken place. For example, if the plan calls for certain </w:t>
                  </w:r>
                  <w:r w:rsidR="00255D98">
                    <w:rPr>
                      <w:rFonts w:ascii="Calibri" w:hAnsi="Calibri" w:cs="Calibri"/>
                    </w:rPr>
                    <w:t>activities</w:t>
                  </w:r>
                  <w:r w:rsidR="0006226D" w:rsidRPr="0031055B">
                    <w:rPr>
                      <w:rFonts w:ascii="Calibri" w:hAnsi="Calibri" w:cs="Calibri"/>
                    </w:rPr>
                    <w:t xml:space="preserve"> to occur, then auditors could ask for evidence demonstrating the </w:t>
                  </w:r>
                  <w:r w:rsidR="007A0778">
                    <w:rPr>
                      <w:rFonts w:ascii="Calibri" w:hAnsi="Calibri" w:cs="Calibri"/>
                    </w:rPr>
                    <w:t>plan</w:t>
                  </w:r>
                  <w:r w:rsidR="0006226D" w:rsidRPr="0031055B">
                    <w:rPr>
                      <w:rFonts w:ascii="Calibri" w:hAnsi="Calibri" w:cs="Calibri"/>
                    </w:rPr>
                    <w:t xml:space="preserve"> has been implemented. </w:t>
                  </w:r>
                </w:p>
              </w:tc>
            </w:tr>
          </w:tbl>
          <w:p w14:paraId="7741F722" w14:textId="77777777" w:rsidR="00F04DA8" w:rsidRPr="006C43BC" w:rsidRDefault="00F04DA8" w:rsidP="0006226D">
            <w:pPr>
              <w:widowControl w:val="0"/>
              <w:tabs>
                <w:tab w:val="left" w:pos="0"/>
                <w:tab w:val="left" w:pos="801"/>
              </w:tabs>
              <w:rPr>
                <w:rFonts w:asciiTheme="minorHAnsi" w:hAnsiTheme="minorHAnsi" w:cs="Times New Roman"/>
                <w:bCs/>
                <w:color w:val="auto"/>
              </w:rPr>
            </w:pPr>
          </w:p>
        </w:tc>
      </w:tr>
    </w:tbl>
    <w:p w14:paraId="3FA43DBF" w14:textId="77777777" w:rsidR="00F04DA8" w:rsidRPr="006C43BC" w:rsidRDefault="00F04DA8" w:rsidP="00F04DA8">
      <w:pPr>
        <w:widowControl w:val="0"/>
        <w:tabs>
          <w:tab w:val="left" w:pos="0"/>
        </w:tabs>
        <w:rPr>
          <w:rFonts w:asciiTheme="minorHAnsi" w:hAnsiTheme="minorHAnsi" w:cs="Times New Roman"/>
          <w:b/>
          <w:bCs/>
        </w:rPr>
      </w:pPr>
    </w:p>
    <w:p w14:paraId="2D8B8BE3" w14:textId="77777777" w:rsidR="00E25FE9" w:rsidRPr="006C43BC" w:rsidRDefault="00E25FE9" w:rsidP="00E25FE9">
      <w:pPr>
        <w:pStyle w:val="RqtSection"/>
        <w:rPr>
          <w:color w:val="264D74"/>
        </w:rPr>
      </w:pPr>
      <w:r w:rsidRPr="006C43BC">
        <w:t>Auditor</w:t>
      </w:r>
      <w:r>
        <w:t xml:space="preserve"> </w:t>
      </w:r>
      <w:r w:rsidRPr="006C43BC">
        <w:t>Notes:</w:t>
      </w:r>
      <w:r w:rsidRPr="006C43BC">
        <w:rPr>
          <w:color w:val="264D74"/>
        </w:rPr>
        <w:t xml:space="preserve"> </w:t>
      </w:r>
    </w:p>
    <w:p w14:paraId="5D825343"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BC11C56"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A68F7C4"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7F60307"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3DF01CE"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D5502A4" w14:textId="77777777" w:rsidR="00E25FE9" w:rsidRDefault="00E25FE9" w:rsidP="00F04DA8">
      <w:pPr>
        <w:pStyle w:val="SectHead"/>
      </w:pPr>
    </w:p>
    <w:p w14:paraId="79E6B603" w14:textId="77777777" w:rsidR="0064785C" w:rsidRDefault="0064785C" w:rsidP="0064785C">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356828F7" w14:textId="77777777" w:rsidR="00F04DA8" w:rsidRPr="00114853" w:rsidRDefault="00F04DA8" w:rsidP="00F04DA8">
      <w:pPr>
        <w:pStyle w:val="SectHead"/>
      </w:pPr>
      <w:r w:rsidRPr="00114853">
        <w:lastRenderedPageBreak/>
        <w:t>R</w:t>
      </w:r>
      <w:r w:rsidR="00D168B1" w:rsidRPr="00114853">
        <w:t>2</w:t>
      </w:r>
      <w:r w:rsidRPr="00114853">
        <w:t xml:space="preserve"> Supporting Evidence and Documentation</w:t>
      </w:r>
    </w:p>
    <w:p w14:paraId="77F8572E" w14:textId="77777777" w:rsidR="00D168B1" w:rsidRPr="00D168B1" w:rsidRDefault="008E0E39" w:rsidP="00D168B1">
      <w:pPr>
        <w:pStyle w:val="Requirement"/>
        <w:rPr>
          <w:rFonts w:asciiTheme="minorHAnsi" w:hAnsiTheme="minorHAnsi"/>
          <w:sz w:val="22"/>
          <w:szCs w:val="22"/>
        </w:rPr>
      </w:pPr>
      <w:r w:rsidRPr="008E0E39">
        <w:rPr>
          <w:rFonts w:asciiTheme="minorHAnsi" w:hAnsiTheme="minorHAnsi"/>
          <w:sz w:val="22"/>
          <w:szCs w:val="22"/>
        </w:rPr>
        <w:t xml:space="preserve">Each Reliability Coordinator </w:t>
      </w:r>
      <w:r w:rsidRPr="0058283B">
        <w:rPr>
          <w:rFonts w:asciiTheme="minorHAnsi" w:hAnsiTheme="minorHAnsi"/>
          <w:sz w:val="22"/>
          <w:szCs w:val="22"/>
        </w:rPr>
        <w:t>shall disseminate forecasted and current space weather information to functional entities identified as recipients in the</w:t>
      </w:r>
      <w:r w:rsidRPr="008E0E39">
        <w:rPr>
          <w:rFonts w:asciiTheme="minorHAnsi" w:hAnsiTheme="minorHAnsi"/>
          <w:sz w:val="22"/>
          <w:szCs w:val="22"/>
        </w:rPr>
        <w:t xml:space="preserve"> Reliability Coordinator's GMD Operating Plan.</w:t>
      </w:r>
    </w:p>
    <w:p w14:paraId="0D357C8B" w14:textId="77777777" w:rsidR="00D168B1" w:rsidRDefault="008E0E39" w:rsidP="00D168B1">
      <w:pPr>
        <w:pStyle w:val="Measure"/>
        <w:rPr>
          <w:rFonts w:asciiTheme="minorHAnsi" w:hAnsiTheme="minorHAnsi"/>
          <w:sz w:val="22"/>
          <w:szCs w:val="22"/>
        </w:rPr>
      </w:pPr>
      <w:r w:rsidRPr="008E0E39">
        <w:rPr>
          <w:rFonts w:asciiTheme="minorHAnsi" w:hAnsiTheme="minorHAnsi"/>
          <w:sz w:val="22"/>
          <w:szCs w:val="22"/>
        </w:rPr>
        <w:t>Each Reliability Coordinator shall have evidence such as dated operator logs, voice recordings, transcripts, or electronic communications to indicate that forecasted and current space weather information was disseminated as stated in its GMD Operating Plan.</w:t>
      </w:r>
    </w:p>
    <w:p w14:paraId="21D93A7B" w14:textId="77777777" w:rsidR="00E25FE9" w:rsidRPr="00B45790" w:rsidRDefault="00E25FE9" w:rsidP="00E25FE9">
      <w:pPr>
        <w:pStyle w:val="Measure"/>
        <w:numPr>
          <w:ilvl w:val="0"/>
          <w:numId w:val="0"/>
        </w:numPr>
        <w:ind w:left="936" w:hanging="576"/>
        <w:rPr>
          <w:rFonts w:asciiTheme="minorHAnsi" w:hAnsiTheme="minorHAnsi"/>
          <w:sz w:val="22"/>
          <w:szCs w:val="22"/>
        </w:rPr>
      </w:pPr>
    </w:p>
    <w:p w14:paraId="7CC29B87"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0D59423"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CA0D390"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641911">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30E114C7" w14:textId="77777777" w:rsidR="00F04DA8" w:rsidRPr="00705BB3" w:rsidRDefault="00F04DA8" w:rsidP="00F04DA8">
      <w:pPr>
        <w:widowControl w:val="0"/>
        <w:shd w:val="clear" w:color="auto" w:fill="CDFFCD"/>
        <w:jc w:val="both"/>
        <w:rPr>
          <w:rFonts w:asciiTheme="minorHAnsi" w:hAnsiTheme="minorHAnsi" w:cs="Times New Roman"/>
          <w:bCs/>
          <w:color w:val="auto"/>
          <w:sz w:val="22"/>
          <w:szCs w:val="22"/>
        </w:rPr>
      </w:pPr>
    </w:p>
    <w:p w14:paraId="45E6EB7D" w14:textId="77777777" w:rsidR="00F04DA8" w:rsidRPr="00705BB3" w:rsidRDefault="00F04DA8" w:rsidP="00F04DA8">
      <w:pPr>
        <w:widowControl w:val="0"/>
        <w:shd w:val="clear" w:color="auto" w:fill="CDFFCD"/>
        <w:jc w:val="both"/>
        <w:rPr>
          <w:rFonts w:asciiTheme="minorHAnsi" w:hAnsiTheme="minorHAnsi" w:cs="Times New Roman"/>
          <w:bCs/>
          <w:color w:val="auto"/>
          <w:sz w:val="22"/>
          <w:szCs w:val="22"/>
        </w:rPr>
      </w:pPr>
    </w:p>
    <w:p w14:paraId="46E4E20B" w14:textId="77777777" w:rsidR="00F04DA8" w:rsidRPr="006C43BC" w:rsidRDefault="00F04DA8" w:rsidP="00F04DA8">
      <w:pPr>
        <w:widowControl w:val="0"/>
        <w:spacing w:line="266" w:lineRule="exact"/>
        <w:rPr>
          <w:rFonts w:asciiTheme="minorHAnsi" w:hAnsiTheme="minorHAnsi" w:cs="Times New Roman"/>
          <w:b/>
          <w:bCs/>
        </w:rPr>
      </w:pPr>
    </w:p>
    <w:p w14:paraId="55C08C59" w14:textId="77777777" w:rsidR="00F04DA8" w:rsidRPr="006C43BC" w:rsidRDefault="00F04DA8" w:rsidP="00F04DA8">
      <w:pPr>
        <w:pStyle w:val="RqtSection"/>
        <w:rPr>
          <w:rFonts w:cstheme="minorHAnsi"/>
          <w:i/>
          <w:iCs/>
        </w:rPr>
      </w:pPr>
      <w:r>
        <w:t xml:space="preserve">Evidence </w:t>
      </w:r>
      <w:proofErr w:type="spellStart"/>
      <w:r>
        <w:t>Requested</w:t>
      </w:r>
      <w:proofErr w:type="gramStart"/>
      <w:r w:rsidR="00CF23FB">
        <w:t>:</w:t>
      </w:r>
      <w:r w:rsidR="00393F9C" w:rsidRPr="00393F9C">
        <w:rPr>
          <w:vertAlign w:val="superscript"/>
        </w:rPr>
        <w:t>i</w:t>
      </w:r>
      <w:proofErr w:type="spellEnd"/>
      <w:proofErr w:type="gramEnd"/>
    </w:p>
    <w:tbl>
      <w:tblPr>
        <w:tblStyle w:val="TableGrid"/>
        <w:tblW w:w="10975" w:type="dxa"/>
        <w:shd w:val="clear" w:color="auto" w:fill="DCDCFF"/>
        <w:tblLook w:val="04A0" w:firstRow="1" w:lastRow="0" w:firstColumn="1" w:lastColumn="0" w:noHBand="0" w:noVBand="1"/>
      </w:tblPr>
      <w:tblGrid>
        <w:gridCol w:w="10975"/>
      </w:tblGrid>
      <w:tr w:rsidR="0058377B" w:rsidRPr="006C43BC" w14:paraId="46C7DF94" w14:textId="77777777" w:rsidTr="0064785C">
        <w:tc>
          <w:tcPr>
            <w:tcW w:w="10975" w:type="dxa"/>
            <w:shd w:val="clear" w:color="auto" w:fill="DCDCFF"/>
          </w:tcPr>
          <w:p w14:paraId="56D50FB1" w14:textId="77777777" w:rsidR="0058377B" w:rsidRPr="00705BB3" w:rsidRDefault="0058377B" w:rsidP="0031055B">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8377B" w:rsidRPr="0058283B" w14:paraId="7239B236" w14:textId="77777777" w:rsidTr="0064785C">
        <w:tc>
          <w:tcPr>
            <w:tcW w:w="10975" w:type="dxa"/>
            <w:shd w:val="clear" w:color="auto" w:fill="DCDCFF"/>
          </w:tcPr>
          <w:p w14:paraId="2F307D0A" w14:textId="18A7CF8F" w:rsidR="0058377B" w:rsidRPr="00EE5127" w:rsidRDefault="005C32D3" w:rsidP="002E025E">
            <w:pPr>
              <w:widowControl w:val="0"/>
              <w:jc w:val="both"/>
              <w:rPr>
                <w:rFonts w:asciiTheme="minorHAnsi" w:hAnsiTheme="minorHAnsi" w:cs="Times New Roman"/>
                <w:color w:val="auto"/>
              </w:rPr>
            </w:pPr>
            <w:r w:rsidRPr="00EE5127">
              <w:rPr>
                <w:rFonts w:asciiTheme="minorHAnsi" w:hAnsiTheme="minorHAnsi" w:cs="Times New Roman"/>
                <w:color w:val="auto"/>
              </w:rPr>
              <w:t xml:space="preserve">Evidence </w:t>
            </w:r>
            <w:r w:rsidR="00B54F02" w:rsidRPr="00EE5127">
              <w:rPr>
                <w:rFonts w:asciiTheme="minorHAnsi" w:hAnsiTheme="minorHAnsi" w:cs="Times New Roman"/>
                <w:color w:val="auto"/>
              </w:rPr>
              <w:t xml:space="preserve">that </w:t>
            </w:r>
            <w:r w:rsidR="002E025E" w:rsidRPr="00144BC6">
              <w:rPr>
                <w:rFonts w:asciiTheme="minorHAnsi" w:hAnsiTheme="minorHAnsi"/>
              </w:rPr>
              <w:t xml:space="preserve">forecasted and current </w:t>
            </w:r>
            <w:r w:rsidR="00B54F02" w:rsidRPr="00EE5127">
              <w:rPr>
                <w:rFonts w:asciiTheme="minorHAnsi" w:hAnsiTheme="minorHAnsi" w:cs="Times New Roman"/>
                <w:color w:val="auto"/>
              </w:rPr>
              <w:t>space weather information was disseminated</w:t>
            </w:r>
            <w:r w:rsidR="006E47CB" w:rsidRPr="00EE5127">
              <w:rPr>
                <w:rFonts w:asciiTheme="minorHAnsi" w:hAnsiTheme="minorHAnsi" w:cs="Times New Roman"/>
                <w:color w:val="auto"/>
              </w:rPr>
              <w:t xml:space="preserve"> </w:t>
            </w:r>
            <w:r w:rsidR="00C57570" w:rsidRPr="00EE5127">
              <w:rPr>
                <w:rFonts w:asciiTheme="minorHAnsi" w:hAnsiTheme="minorHAnsi" w:cs="Times New Roman"/>
                <w:color w:val="auto"/>
              </w:rPr>
              <w:t xml:space="preserve">to recipients </w:t>
            </w:r>
            <w:r w:rsidR="006E47CB" w:rsidRPr="00EE5127">
              <w:rPr>
                <w:rFonts w:asciiTheme="minorHAnsi" w:hAnsiTheme="minorHAnsi" w:cs="Times New Roman"/>
                <w:color w:val="auto"/>
              </w:rPr>
              <w:t xml:space="preserve">as specified </w:t>
            </w:r>
            <w:r w:rsidR="00C57570" w:rsidRPr="00EE5127">
              <w:rPr>
                <w:rFonts w:asciiTheme="minorHAnsi" w:hAnsiTheme="minorHAnsi" w:cs="Times New Roman"/>
                <w:color w:val="auto"/>
              </w:rPr>
              <w:t xml:space="preserve">in the </w:t>
            </w:r>
            <w:r w:rsidR="00B54F02" w:rsidRPr="00EE5127">
              <w:rPr>
                <w:rFonts w:asciiTheme="minorHAnsi" w:hAnsiTheme="minorHAnsi" w:cs="Times New Roman"/>
                <w:color w:val="auto"/>
              </w:rPr>
              <w:t>GMD Operating P</w:t>
            </w:r>
            <w:r w:rsidR="00C57570" w:rsidRPr="00EE5127">
              <w:rPr>
                <w:rFonts w:asciiTheme="minorHAnsi" w:hAnsiTheme="minorHAnsi" w:cs="Times New Roman"/>
                <w:color w:val="auto"/>
              </w:rPr>
              <w:t>lan</w:t>
            </w:r>
            <w:r w:rsidRPr="00EE5127">
              <w:rPr>
                <w:rFonts w:asciiTheme="minorHAnsi" w:hAnsiTheme="minorHAnsi" w:cs="Times New Roman"/>
                <w:color w:val="auto"/>
              </w:rPr>
              <w:t xml:space="preserve">, such as operator logs, voice recordings, or other </w:t>
            </w:r>
            <w:r w:rsidR="00DE5387" w:rsidRPr="00EE5127">
              <w:rPr>
                <w:rFonts w:asciiTheme="minorHAnsi" w:hAnsiTheme="minorHAnsi" w:cs="Times New Roman"/>
                <w:color w:val="auto"/>
              </w:rPr>
              <w:t xml:space="preserve">documented </w:t>
            </w:r>
            <w:r w:rsidRPr="00EE5127">
              <w:rPr>
                <w:rFonts w:asciiTheme="minorHAnsi" w:hAnsiTheme="minorHAnsi" w:cs="Times New Roman"/>
                <w:color w:val="auto"/>
              </w:rPr>
              <w:t>communications.</w:t>
            </w:r>
          </w:p>
        </w:tc>
      </w:tr>
    </w:tbl>
    <w:p w14:paraId="2A76A9B2" w14:textId="77777777" w:rsidR="00F04DA8" w:rsidRDefault="00F04DA8" w:rsidP="00F04DA8">
      <w:pPr>
        <w:widowControl w:val="0"/>
        <w:spacing w:line="266" w:lineRule="exact"/>
        <w:rPr>
          <w:rFonts w:asciiTheme="minorHAnsi" w:hAnsiTheme="minorHAnsi" w:cs="Times New Roman"/>
          <w:b/>
          <w:bCs/>
          <w:color w:val="auto"/>
        </w:rPr>
      </w:pPr>
    </w:p>
    <w:p w14:paraId="2558D0AE"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4DA8" w:rsidRPr="00812336" w14:paraId="524A9D4D" w14:textId="77777777" w:rsidTr="003062CC">
        <w:tc>
          <w:tcPr>
            <w:tcW w:w="10995" w:type="dxa"/>
            <w:gridSpan w:val="6"/>
            <w:shd w:val="clear" w:color="auto" w:fill="DCDCFF"/>
            <w:vAlign w:val="bottom"/>
          </w:tcPr>
          <w:p w14:paraId="5B4A73D5" w14:textId="77777777" w:rsidR="00F04DA8" w:rsidRPr="00812336" w:rsidRDefault="00F04DA8" w:rsidP="0064191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641911">
              <w:rPr>
                <w:rFonts w:asciiTheme="minorHAnsi" w:hAnsiTheme="minorHAnsi" w:cs="Times New Roman"/>
                <w:b/>
                <w:bCs/>
              </w:rPr>
              <w:t xml:space="preserve"> o</w:t>
            </w:r>
            <w:r w:rsidRPr="00812336">
              <w:rPr>
                <w:rFonts w:asciiTheme="minorHAnsi" w:hAnsiTheme="minorHAnsi" w:cs="Times New Roman"/>
                <w:b/>
                <w:bCs/>
              </w:rPr>
              <w:t>f compliance may be found.</w:t>
            </w:r>
          </w:p>
        </w:tc>
      </w:tr>
      <w:tr w:rsidR="00F04DA8" w:rsidRPr="00812336" w14:paraId="0948F879" w14:textId="77777777" w:rsidTr="003062CC">
        <w:tc>
          <w:tcPr>
            <w:tcW w:w="2340" w:type="dxa"/>
            <w:shd w:val="clear" w:color="auto" w:fill="DCDCFF"/>
            <w:vAlign w:val="bottom"/>
          </w:tcPr>
          <w:p w14:paraId="13817488"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8604BE9"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14D26ED"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7DB208D"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C7C7B84"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E9B5CEE"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10404758" w14:textId="77777777" w:rsidTr="003062CC">
        <w:tc>
          <w:tcPr>
            <w:tcW w:w="2340" w:type="dxa"/>
            <w:shd w:val="clear" w:color="auto" w:fill="CDFFCD"/>
          </w:tcPr>
          <w:p w14:paraId="4F70DD8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7F0286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34B3B3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82B2BC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B3B751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307E09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63D4A5DE" w14:textId="77777777" w:rsidTr="003062CC">
        <w:tc>
          <w:tcPr>
            <w:tcW w:w="2340" w:type="dxa"/>
            <w:shd w:val="clear" w:color="auto" w:fill="CDFFCD"/>
          </w:tcPr>
          <w:p w14:paraId="0CFDB4E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C1151F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F8240FB"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303A55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EAD15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46F106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7E43AF00" w14:textId="77777777" w:rsidTr="003062CC">
        <w:tc>
          <w:tcPr>
            <w:tcW w:w="2340" w:type="dxa"/>
            <w:shd w:val="clear" w:color="auto" w:fill="CDFFCD"/>
          </w:tcPr>
          <w:p w14:paraId="6FEC11E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76FBF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5AC3BAB"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79F74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10FFE5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9D153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059D92E8" w14:textId="77777777" w:rsidR="00F04DA8" w:rsidRPr="006C43BC" w:rsidRDefault="00F04DA8" w:rsidP="00F04DA8">
      <w:pPr>
        <w:widowControl w:val="0"/>
        <w:rPr>
          <w:rFonts w:asciiTheme="minorHAnsi" w:hAnsiTheme="minorHAnsi" w:cs="Times New Roman"/>
        </w:rPr>
      </w:pPr>
    </w:p>
    <w:p w14:paraId="09198429"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F04DA8" w:rsidRPr="00705BB3" w14:paraId="3232E4B2" w14:textId="77777777" w:rsidTr="0064785C">
        <w:tc>
          <w:tcPr>
            <w:tcW w:w="10975" w:type="dxa"/>
            <w:shd w:val="clear" w:color="auto" w:fill="auto"/>
          </w:tcPr>
          <w:p w14:paraId="32EFBD03" w14:textId="77777777" w:rsidR="00F04DA8" w:rsidRPr="00705BB3" w:rsidRDefault="00F04DA8" w:rsidP="003062CC">
            <w:pPr>
              <w:widowControl w:val="0"/>
              <w:rPr>
                <w:rFonts w:asciiTheme="minorHAnsi" w:hAnsiTheme="minorHAnsi" w:cs="Times New Roman"/>
                <w:sz w:val="22"/>
                <w:szCs w:val="22"/>
              </w:rPr>
            </w:pPr>
          </w:p>
        </w:tc>
      </w:tr>
      <w:tr w:rsidR="00F04DA8" w:rsidRPr="00705BB3" w14:paraId="6EB737E3" w14:textId="77777777" w:rsidTr="0064785C">
        <w:tc>
          <w:tcPr>
            <w:tcW w:w="10975" w:type="dxa"/>
            <w:shd w:val="clear" w:color="auto" w:fill="auto"/>
          </w:tcPr>
          <w:p w14:paraId="657C5AE0" w14:textId="77777777" w:rsidR="00F04DA8" w:rsidRPr="00705BB3" w:rsidRDefault="00F04DA8" w:rsidP="003062CC">
            <w:pPr>
              <w:widowControl w:val="0"/>
              <w:rPr>
                <w:rFonts w:asciiTheme="minorHAnsi" w:hAnsiTheme="minorHAnsi" w:cs="Times New Roman"/>
                <w:sz w:val="22"/>
                <w:szCs w:val="22"/>
              </w:rPr>
            </w:pPr>
          </w:p>
        </w:tc>
      </w:tr>
      <w:tr w:rsidR="00F04DA8" w:rsidRPr="00705BB3" w14:paraId="2D205949" w14:textId="77777777" w:rsidTr="0064785C">
        <w:tc>
          <w:tcPr>
            <w:tcW w:w="10975" w:type="dxa"/>
            <w:shd w:val="clear" w:color="auto" w:fill="auto"/>
          </w:tcPr>
          <w:p w14:paraId="05E7EA9E" w14:textId="77777777" w:rsidR="00F04DA8" w:rsidRPr="00705BB3" w:rsidRDefault="00F04DA8" w:rsidP="003062CC">
            <w:pPr>
              <w:widowControl w:val="0"/>
              <w:rPr>
                <w:rFonts w:asciiTheme="minorHAnsi" w:hAnsiTheme="minorHAnsi" w:cs="Times New Roman"/>
                <w:sz w:val="22"/>
                <w:szCs w:val="22"/>
              </w:rPr>
            </w:pPr>
          </w:p>
        </w:tc>
      </w:tr>
    </w:tbl>
    <w:p w14:paraId="4D0E0D9A" w14:textId="77777777" w:rsidR="00F04DA8" w:rsidRPr="006C43BC" w:rsidRDefault="00F04DA8" w:rsidP="00F04DA8">
      <w:pPr>
        <w:widowControl w:val="0"/>
        <w:rPr>
          <w:rFonts w:asciiTheme="minorHAnsi" w:hAnsiTheme="minorHAnsi" w:cs="Times New Roman"/>
        </w:rPr>
      </w:pPr>
    </w:p>
    <w:p w14:paraId="2F2C9CBF" w14:textId="5798B3BF" w:rsidR="00F04DA8" w:rsidRPr="00722443" w:rsidRDefault="00F04DA8" w:rsidP="00F04DA8">
      <w:pPr>
        <w:pStyle w:val="RqtSection"/>
        <w:rPr>
          <w14:shadow w14:blurRad="50800" w14:dist="38100" w14:dir="2700000" w14:sx="100000" w14:sy="100000" w14:kx="0" w14:ky="0" w14:algn="tl">
            <w14:srgbClr w14:val="000000">
              <w14:alpha w14:val="60000"/>
            </w14:srgbClr>
          </w14:shadow>
        </w:rPr>
      </w:pPr>
      <w:r w:rsidRPr="00114853">
        <w:t xml:space="preserve">Compliance Assessment Approach Specific to </w:t>
      </w:r>
      <w:r w:rsidR="00114853" w:rsidRPr="00114853">
        <w:t>EOP-</w:t>
      </w:r>
      <w:r w:rsidR="006E47CB" w:rsidRPr="00114853">
        <w:t>01</w:t>
      </w:r>
      <w:r w:rsidR="006E47CB">
        <w:t>0</w:t>
      </w:r>
      <w:r w:rsidR="00114853" w:rsidRPr="00114853">
        <w:t>-1</w:t>
      </w:r>
      <w:r w:rsidRPr="00114853">
        <w:t>, R</w:t>
      </w:r>
      <w:r w:rsidR="00114853" w:rsidRPr="00114853">
        <w:t>2</w:t>
      </w:r>
    </w:p>
    <w:p w14:paraId="5D861005"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58377B" w:rsidRPr="00E03541" w14:paraId="38529C80" w14:textId="77777777" w:rsidTr="0064785C">
        <w:tc>
          <w:tcPr>
            <w:tcW w:w="374" w:type="dxa"/>
          </w:tcPr>
          <w:p w14:paraId="7B217857" w14:textId="77777777" w:rsidR="0058377B" w:rsidRPr="00E03541" w:rsidRDefault="0058377B" w:rsidP="0031055B">
            <w:pPr>
              <w:widowControl w:val="0"/>
              <w:tabs>
                <w:tab w:val="left" w:pos="0"/>
                <w:tab w:val="left" w:pos="900"/>
                <w:tab w:val="left" w:pos="6360"/>
              </w:tabs>
              <w:rPr>
                <w:rFonts w:asciiTheme="minorHAnsi" w:hAnsiTheme="minorHAnsi" w:cs="Times New Roman"/>
                <w:bCs/>
              </w:rPr>
            </w:pPr>
          </w:p>
        </w:tc>
        <w:tc>
          <w:tcPr>
            <w:tcW w:w="10601" w:type="dxa"/>
            <w:tcBorders>
              <w:bottom w:val="single" w:sz="4" w:space="0" w:color="auto"/>
            </w:tcBorders>
            <w:shd w:val="clear" w:color="auto" w:fill="DCDCFF"/>
          </w:tcPr>
          <w:p w14:paraId="4E128A5B" w14:textId="4E7C7BD7" w:rsidR="0058377B" w:rsidRPr="00E03541" w:rsidRDefault="0058377B" w:rsidP="00427E7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Confirm </w:t>
            </w:r>
            <w:r w:rsidR="002E025E" w:rsidRPr="00427E7A">
              <w:rPr>
                <w:rFonts w:asciiTheme="minorHAnsi" w:hAnsiTheme="minorHAnsi" w:cs="Times New Roman"/>
                <w:b/>
                <w:i/>
                <w:color w:val="auto"/>
              </w:rPr>
              <w:t>current and forecasted</w:t>
            </w:r>
            <w:r w:rsidR="002E025E">
              <w:rPr>
                <w:rFonts w:asciiTheme="minorHAnsi" w:hAnsiTheme="minorHAnsi" w:cs="Times New Roman"/>
                <w:color w:val="auto"/>
              </w:rPr>
              <w:t xml:space="preserve"> </w:t>
            </w:r>
            <w:r w:rsidR="00467888">
              <w:rPr>
                <w:rFonts w:asciiTheme="minorHAnsi" w:hAnsiTheme="minorHAnsi" w:cs="Times New Roman"/>
                <w:color w:val="auto"/>
              </w:rPr>
              <w:t xml:space="preserve">space weather information was disseminated to functional entities identified as recipients in the GMD Operating Plan. </w:t>
            </w:r>
            <w:r w:rsidR="00C22D6F">
              <w:rPr>
                <w:rFonts w:asciiTheme="minorHAnsi" w:hAnsiTheme="minorHAnsi" w:cs="Times New Roman"/>
                <w:color w:val="auto"/>
              </w:rPr>
              <w:t xml:space="preserve"> </w:t>
            </w:r>
          </w:p>
        </w:tc>
      </w:tr>
      <w:tr w:rsidR="0058377B" w:rsidRPr="006C43BC" w14:paraId="08159AEF" w14:textId="77777777" w:rsidTr="0064785C">
        <w:tc>
          <w:tcPr>
            <w:tcW w:w="10975" w:type="dxa"/>
            <w:gridSpan w:val="2"/>
            <w:shd w:val="clear" w:color="auto" w:fill="DCDCFF"/>
          </w:tcPr>
          <w:tbl>
            <w:tblPr>
              <w:tblW w:w="0" w:type="auto"/>
              <w:tblBorders>
                <w:top w:val="nil"/>
                <w:left w:val="nil"/>
                <w:bottom w:val="nil"/>
                <w:right w:val="nil"/>
              </w:tblBorders>
              <w:tblLook w:val="0000" w:firstRow="0" w:lastRow="0" w:firstColumn="0" w:lastColumn="0" w:noHBand="0" w:noVBand="0"/>
            </w:tblPr>
            <w:tblGrid>
              <w:gridCol w:w="10759"/>
            </w:tblGrid>
            <w:tr w:rsidR="0058377B" w:rsidRPr="00EE5127" w14:paraId="51F5FF9A" w14:textId="77777777" w:rsidTr="0031055B">
              <w:trPr>
                <w:trHeight w:val="1324"/>
              </w:trPr>
              <w:tc>
                <w:tcPr>
                  <w:tcW w:w="0" w:type="auto"/>
                </w:tcPr>
                <w:p w14:paraId="50CFE0F5" w14:textId="00F39A41" w:rsidR="0058377B" w:rsidRPr="00144BC6" w:rsidRDefault="0058377B" w:rsidP="00AA45E9">
                  <w:pPr>
                    <w:rPr>
                      <w:rFonts w:ascii="Calibri" w:hAnsi="Calibri"/>
                    </w:rPr>
                  </w:pPr>
                  <w:r w:rsidRPr="00EE5127">
                    <w:rPr>
                      <w:rFonts w:asciiTheme="minorHAnsi" w:hAnsiTheme="minorHAnsi" w:cs="Times New Roman"/>
                      <w:b/>
                      <w:bCs/>
                      <w:color w:val="auto"/>
                    </w:rPr>
                    <w:lastRenderedPageBreak/>
                    <w:t>Note to Auditor:</w:t>
                  </w:r>
                  <w:r w:rsidRPr="00EE5127">
                    <w:rPr>
                      <w:rFonts w:asciiTheme="minorHAnsi" w:hAnsiTheme="minorHAnsi" w:cs="Times New Roman"/>
                      <w:bCs/>
                      <w:color w:val="auto"/>
                    </w:rPr>
                    <w:t xml:space="preserve"> </w:t>
                  </w:r>
                  <w:r w:rsidR="00467888" w:rsidRPr="00144BC6">
                    <w:rPr>
                      <w:rFonts w:ascii="Calibri" w:hAnsi="Calibri"/>
                    </w:rPr>
                    <w:t xml:space="preserve">In accordance with the approved Implementation Plan for EOP-010-1, </w:t>
                  </w:r>
                  <w:r w:rsidRPr="00144BC6">
                    <w:rPr>
                      <w:rFonts w:ascii="Calibri" w:hAnsi="Calibri"/>
                    </w:rPr>
                    <w:t xml:space="preserve">Requirement R2 </w:t>
                  </w:r>
                  <w:r w:rsidR="00467888" w:rsidRPr="00144BC6">
                    <w:rPr>
                      <w:rFonts w:ascii="Calibri" w:hAnsi="Calibri"/>
                    </w:rPr>
                    <w:t>will not become effective until the first day following retirement of Reliability Standard IRO-005-3.1a. Until that time, the Reliability Coordinator’s obligation for GMD forecast information is contained in IRO-005-3.1a Requirement R3</w:t>
                  </w:r>
                  <w:r w:rsidR="005C1674" w:rsidRPr="00144BC6">
                    <w:rPr>
                      <w:rFonts w:ascii="Calibri" w:hAnsi="Calibri"/>
                    </w:rPr>
                    <w:t xml:space="preserve"> and the auditor should not assess compliance with EOP-010-1 Requirement R2.</w:t>
                  </w:r>
                </w:p>
              </w:tc>
            </w:tr>
          </w:tbl>
          <w:p w14:paraId="655BA6A9" w14:textId="77777777" w:rsidR="0058377B" w:rsidRPr="006C43BC" w:rsidRDefault="0058377B" w:rsidP="0031055B">
            <w:pPr>
              <w:widowControl w:val="0"/>
              <w:tabs>
                <w:tab w:val="left" w:pos="0"/>
                <w:tab w:val="left" w:pos="801"/>
              </w:tabs>
              <w:rPr>
                <w:rFonts w:asciiTheme="minorHAnsi" w:hAnsiTheme="minorHAnsi" w:cs="Times New Roman"/>
                <w:bCs/>
                <w:color w:val="auto"/>
              </w:rPr>
            </w:pPr>
          </w:p>
        </w:tc>
      </w:tr>
    </w:tbl>
    <w:p w14:paraId="3FE567C4" w14:textId="77777777" w:rsidR="00F04DA8" w:rsidRDefault="00F04DA8" w:rsidP="00F04DA8">
      <w:pPr>
        <w:widowControl w:val="0"/>
        <w:tabs>
          <w:tab w:val="left" w:pos="0"/>
        </w:tabs>
        <w:rPr>
          <w:rFonts w:asciiTheme="minorHAnsi" w:hAnsiTheme="minorHAnsi" w:cs="Times New Roman"/>
          <w:b/>
          <w:bCs/>
        </w:rPr>
      </w:pPr>
    </w:p>
    <w:p w14:paraId="470D9C83" w14:textId="77777777" w:rsidR="00E25FE9" w:rsidRDefault="00E25FE9" w:rsidP="00F04DA8">
      <w:pPr>
        <w:widowControl w:val="0"/>
        <w:tabs>
          <w:tab w:val="left" w:pos="0"/>
        </w:tabs>
        <w:rPr>
          <w:rFonts w:asciiTheme="minorHAnsi" w:hAnsiTheme="minorHAnsi" w:cs="Times New Roman"/>
          <w:b/>
          <w:bCs/>
        </w:rPr>
      </w:pPr>
    </w:p>
    <w:p w14:paraId="56382D0C" w14:textId="77777777" w:rsidR="00E25FE9" w:rsidRPr="006C43BC" w:rsidRDefault="00E25FE9" w:rsidP="00E25FE9">
      <w:pPr>
        <w:pStyle w:val="RqtSection"/>
        <w:rPr>
          <w:color w:val="264D74"/>
        </w:rPr>
      </w:pPr>
      <w:r w:rsidRPr="006C43BC">
        <w:t>Auditor</w:t>
      </w:r>
      <w:r>
        <w:t xml:space="preserve"> </w:t>
      </w:r>
      <w:r w:rsidRPr="006C43BC">
        <w:t>Notes:</w:t>
      </w:r>
      <w:r w:rsidRPr="006C43BC">
        <w:rPr>
          <w:color w:val="264D74"/>
        </w:rPr>
        <w:t xml:space="preserve"> </w:t>
      </w:r>
    </w:p>
    <w:p w14:paraId="442503C5"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0E714F"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41DCE3F"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7E2BF8"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1697DD9"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8D25C5D" w14:textId="77777777" w:rsidR="0064785C" w:rsidRDefault="0064785C" w:rsidP="0064785C">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3F7FA8FA" w14:textId="77777777" w:rsidR="00F04DA8" w:rsidRPr="00E03541" w:rsidRDefault="00F04DA8" w:rsidP="00F04DA8">
      <w:pPr>
        <w:pStyle w:val="SectHead"/>
      </w:pPr>
      <w:r w:rsidRPr="00612B97">
        <w:lastRenderedPageBreak/>
        <w:t>R</w:t>
      </w:r>
      <w:r w:rsidR="00612B97" w:rsidRPr="00612B97">
        <w:t>3</w:t>
      </w:r>
      <w:r w:rsidRPr="00612B97">
        <w:t xml:space="preserve"> Supporting Evidence and Documentation</w:t>
      </w:r>
    </w:p>
    <w:p w14:paraId="1F825284" w14:textId="77777777" w:rsidR="00D168B1" w:rsidRPr="004D1788" w:rsidRDefault="007E3EBA" w:rsidP="00D168B1">
      <w:pPr>
        <w:pStyle w:val="Requirement"/>
        <w:rPr>
          <w:rFonts w:asciiTheme="minorHAnsi" w:hAnsiTheme="minorHAnsi"/>
          <w:sz w:val="22"/>
          <w:szCs w:val="22"/>
        </w:rPr>
      </w:pPr>
      <w:r w:rsidRPr="007E3EBA">
        <w:rPr>
          <w:rFonts w:asciiTheme="minorHAnsi" w:hAnsiTheme="minorHAnsi"/>
          <w:sz w:val="22"/>
          <w:szCs w:val="22"/>
        </w:rPr>
        <w:t xml:space="preserve">Each </w:t>
      </w:r>
      <w:r w:rsidRPr="000D6E37">
        <w:rPr>
          <w:rFonts w:asciiTheme="minorHAnsi" w:hAnsiTheme="minorHAnsi"/>
          <w:sz w:val="22"/>
          <w:szCs w:val="22"/>
        </w:rPr>
        <w:t>Transmission Operator shall develop, maintain, and implement a GMD Operating Procedure or Operating Process</w:t>
      </w:r>
      <w:r w:rsidRPr="004D1788">
        <w:rPr>
          <w:rFonts w:asciiTheme="minorHAnsi" w:hAnsiTheme="minorHAnsi"/>
          <w:sz w:val="22"/>
          <w:szCs w:val="22"/>
        </w:rPr>
        <w:t xml:space="preserve"> to mitigate the effects of GMD events on the reliable operation of its respective system. At a minimum, the Operating Procedure or Operating Process shall include:</w:t>
      </w:r>
    </w:p>
    <w:p w14:paraId="65A467AB" w14:textId="77777777" w:rsidR="007E3EBA" w:rsidRPr="004D1788" w:rsidRDefault="007E3EBA" w:rsidP="007E3EBA">
      <w:pPr>
        <w:pStyle w:val="Requirement"/>
        <w:numPr>
          <w:ilvl w:val="1"/>
          <w:numId w:val="1"/>
        </w:numPr>
        <w:rPr>
          <w:rFonts w:asciiTheme="minorHAnsi" w:hAnsiTheme="minorHAnsi"/>
          <w:sz w:val="22"/>
          <w:szCs w:val="22"/>
        </w:rPr>
      </w:pPr>
      <w:r w:rsidRPr="004D1788">
        <w:rPr>
          <w:rFonts w:asciiTheme="minorHAnsi" w:hAnsiTheme="minorHAnsi"/>
          <w:sz w:val="22"/>
          <w:szCs w:val="22"/>
        </w:rPr>
        <w:t>Steps or tasks to receive space weather information.</w:t>
      </w:r>
    </w:p>
    <w:p w14:paraId="6F2A0387" w14:textId="77777777" w:rsidR="007E3EBA" w:rsidRPr="004D1788" w:rsidRDefault="007E3EBA" w:rsidP="007E3EBA">
      <w:pPr>
        <w:pStyle w:val="Requirement"/>
        <w:numPr>
          <w:ilvl w:val="1"/>
          <w:numId w:val="1"/>
        </w:numPr>
        <w:rPr>
          <w:rFonts w:asciiTheme="minorHAnsi" w:hAnsiTheme="minorHAnsi"/>
          <w:sz w:val="22"/>
          <w:szCs w:val="22"/>
        </w:rPr>
      </w:pPr>
      <w:r w:rsidRPr="004D1788">
        <w:rPr>
          <w:rFonts w:asciiTheme="minorHAnsi" w:hAnsiTheme="minorHAnsi"/>
          <w:bCs/>
          <w:sz w:val="22"/>
          <w:szCs w:val="22"/>
        </w:rPr>
        <w:t>System Operator actions to be initiated based on predetermined conditions.</w:t>
      </w:r>
    </w:p>
    <w:p w14:paraId="39D64E46" w14:textId="77777777" w:rsidR="007E3EBA" w:rsidRPr="004D1788" w:rsidRDefault="007E3EBA" w:rsidP="007E3EBA">
      <w:pPr>
        <w:pStyle w:val="Requirement"/>
        <w:numPr>
          <w:ilvl w:val="1"/>
          <w:numId w:val="1"/>
        </w:numPr>
        <w:rPr>
          <w:rFonts w:asciiTheme="minorHAnsi" w:hAnsiTheme="minorHAnsi"/>
          <w:sz w:val="22"/>
          <w:szCs w:val="22"/>
        </w:rPr>
      </w:pPr>
      <w:r w:rsidRPr="004D1788">
        <w:rPr>
          <w:rFonts w:asciiTheme="minorHAnsi" w:hAnsiTheme="minorHAnsi"/>
          <w:bCs/>
          <w:sz w:val="22"/>
          <w:szCs w:val="22"/>
        </w:rPr>
        <w:t>The conditions for terminating the Operating Procedure or Operating Process.</w:t>
      </w:r>
    </w:p>
    <w:p w14:paraId="6D85B38F" w14:textId="77777777" w:rsidR="00D168B1" w:rsidRPr="005D4490" w:rsidRDefault="00F56709" w:rsidP="00D168B1">
      <w:pPr>
        <w:pStyle w:val="Measure"/>
        <w:rPr>
          <w:rFonts w:asciiTheme="minorHAnsi" w:hAnsiTheme="minorHAnsi"/>
          <w:sz w:val="22"/>
          <w:szCs w:val="22"/>
        </w:rPr>
      </w:pPr>
      <w:r w:rsidRPr="004D1788">
        <w:rPr>
          <w:rFonts w:asciiTheme="minorHAnsi" w:hAnsiTheme="minorHAnsi"/>
          <w:sz w:val="22"/>
          <w:szCs w:val="22"/>
        </w:rPr>
        <w:t>Each Transmission Operator shall have a GMD Operating Procedure or Operating Process meeting all the provisions of Requirement R3; evidence such as a review or revision history to indicate that the GMD Operating Procedure or Operating Process has been maintained; and evidence</w:t>
      </w:r>
      <w:r w:rsidRPr="00F56709">
        <w:rPr>
          <w:rFonts w:asciiTheme="minorHAnsi" w:hAnsiTheme="minorHAnsi"/>
          <w:sz w:val="22"/>
          <w:szCs w:val="22"/>
        </w:rPr>
        <w:t xml:space="preserve"> to show that the Operating Procedure or Operating Process was implemented as called for in its GMD Operating Procedure or Operating Process, such as dated operator logs, voice recordings, or voice transcripts.</w:t>
      </w:r>
    </w:p>
    <w:p w14:paraId="77D0F27E" w14:textId="77777777" w:rsidR="00C03D06" w:rsidRDefault="00C03D06" w:rsidP="00F04DA8">
      <w:pPr>
        <w:widowControl w:val="0"/>
        <w:rPr>
          <w:rFonts w:asciiTheme="minorHAnsi" w:hAnsiTheme="minorHAnsi" w:cs="Times New Roman"/>
          <w:b/>
          <w:bCs/>
        </w:rPr>
      </w:pPr>
    </w:p>
    <w:p w14:paraId="74C5FB12" w14:textId="77777777" w:rsidR="005D5112" w:rsidRDefault="005D5112" w:rsidP="005D511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B8F2F26" w14:textId="3DFC2A7D" w:rsidR="00013E13" w:rsidRPr="00144BC6" w:rsidRDefault="005D5112" w:rsidP="00013E13">
      <w:pPr>
        <w:pStyle w:val="FootnoteText"/>
        <w:rPr>
          <w:rFonts w:asciiTheme="minorHAnsi" w:hAnsiTheme="minorHAnsi"/>
        </w:rPr>
      </w:pPr>
      <w:r>
        <w:rPr>
          <w:rFonts w:asciiTheme="minorHAnsi" w:hAnsiTheme="minorHAnsi" w:cs="Times New Roman"/>
          <w:b/>
          <w:bCs/>
        </w:rPr>
        <w:t xml:space="preserve">Question: </w:t>
      </w:r>
      <w:r w:rsidR="00013E13" w:rsidRPr="00144BC6">
        <w:rPr>
          <w:rFonts w:asciiTheme="minorHAnsi" w:hAnsiTheme="minorHAnsi"/>
        </w:rPr>
        <w:t xml:space="preserve">Does the Transmission Operator Area include a power transformer with a high side wye-grounded winding with terminal voltage greater than 200 kV?       </w:t>
      </w:r>
      <w:sdt>
        <w:sdtPr>
          <w:rPr>
            <w:rFonts w:asciiTheme="minorHAnsi" w:hAnsiTheme="minorHAnsi" w:cs="Times New Roman"/>
          </w:rPr>
          <w:id w:val="680708277"/>
          <w14:checkbox>
            <w14:checked w14:val="0"/>
            <w14:checkedState w14:val="2612" w14:font="MS Gothic"/>
            <w14:uncheckedState w14:val="2610" w14:font="MS Gothic"/>
          </w14:checkbox>
        </w:sdtPr>
        <w:sdtEndPr>
          <w:rPr>
            <w:rFonts w:cs="Arial"/>
          </w:rPr>
        </w:sdtEndPr>
        <w:sdtContent>
          <w:r w:rsidR="00013E13" w:rsidRPr="00EE5127">
            <w:rPr>
              <w:rFonts w:ascii="Segoe UI Symbol" w:eastAsia="MS Gothic" w:hAnsi="Segoe UI Symbol"/>
            </w:rPr>
            <w:t>☐</w:t>
          </w:r>
        </w:sdtContent>
      </w:sdt>
      <w:r w:rsidR="00013E13" w:rsidRPr="00EE5127">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rPr>
            <w:rFonts w:cs="Arial"/>
          </w:rPr>
        </w:sdtEndPr>
        <w:sdtContent>
          <w:r w:rsidR="00013E13" w:rsidRPr="00EE5127">
            <w:rPr>
              <w:rFonts w:ascii="Segoe UI Symbol" w:eastAsia="MS Gothic" w:hAnsi="Segoe UI Symbol"/>
            </w:rPr>
            <w:t>☐</w:t>
          </w:r>
        </w:sdtContent>
      </w:sdt>
      <w:r w:rsidR="00013E13" w:rsidRPr="00EE5127">
        <w:rPr>
          <w:rFonts w:asciiTheme="minorHAnsi" w:hAnsiTheme="minorHAnsi" w:cs="Times New Roman"/>
        </w:rPr>
        <w:t xml:space="preserve"> No</w:t>
      </w:r>
    </w:p>
    <w:p w14:paraId="55EE8713" w14:textId="5EF08CF2" w:rsidR="005D5112" w:rsidRPr="00144BC6" w:rsidRDefault="00013E13" w:rsidP="00F04DA8">
      <w:pPr>
        <w:widowControl w:val="0"/>
        <w:rPr>
          <w:rFonts w:asciiTheme="minorHAnsi" w:hAnsiTheme="minorHAnsi"/>
        </w:rPr>
      </w:pPr>
      <w:r w:rsidRPr="00144BC6">
        <w:rPr>
          <w:rFonts w:asciiTheme="minorHAnsi" w:hAnsiTheme="minorHAnsi"/>
        </w:rPr>
        <w:t xml:space="preserve">If </w:t>
      </w:r>
      <w:proofErr w:type="gramStart"/>
      <w:r w:rsidRPr="00144BC6">
        <w:rPr>
          <w:rFonts w:asciiTheme="minorHAnsi" w:hAnsiTheme="minorHAnsi"/>
        </w:rPr>
        <w:t>Yes</w:t>
      </w:r>
      <w:proofErr w:type="gramEnd"/>
      <w:r w:rsidRPr="00144BC6">
        <w:rPr>
          <w:rFonts w:asciiTheme="minorHAnsi" w:hAnsiTheme="minorHAnsi"/>
        </w:rPr>
        <w:t xml:space="preserve">, </w:t>
      </w:r>
      <w:r w:rsidR="00F66BC9" w:rsidRPr="00144BC6">
        <w:rPr>
          <w:rFonts w:asciiTheme="minorHAnsi" w:hAnsiTheme="minorHAnsi"/>
        </w:rPr>
        <w:t>proceed to the Compliance Narrative below</w:t>
      </w:r>
      <w:r w:rsidRPr="00144BC6">
        <w:rPr>
          <w:rFonts w:asciiTheme="minorHAnsi" w:hAnsiTheme="minorHAnsi"/>
        </w:rPr>
        <w:t xml:space="preserve">.  </w:t>
      </w:r>
      <w:r w:rsidR="000C07DB">
        <w:rPr>
          <w:rFonts w:asciiTheme="minorHAnsi" w:hAnsiTheme="minorHAnsi" w:cs="Times New Roman"/>
          <w:bCs/>
        </w:rPr>
        <w:t>If No,</w:t>
      </w:r>
      <w:r w:rsidR="00384B0D">
        <w:rPr>
          <w:rFonts w:asciiTheme="minorHAnsi" w:hAnsiTheme="minorHAnsi" w:cs="Times New Roman"/>
          <w:bCs/>
        </w:rPr>
        <w:t xml:space="preserve"> </w:t>
      </w:r>
      <w:r w:rsidR="000C07DB">
        <w:rPr>
          <w:rFonts w:asciiTheme="minorHAnsi" w:hAnsiTheme="minorHAnsi" w:cs="Times New Roman"/>
          <w:bCs/>
        </w:rPr>
        <w:t xml:space="preserve">information </w:t>
      </w:r>
      <w:r w:rsidR="00384B0D">
        <w:rPr>
          <w:rFonts w:asciiTheme="minorHAnsi" w:hAnsiTheme="minorHAnsi" w:cs="Times New Roman"/>
          <w:bCs/>
        </w:rPr>
        <w:t>supporting the entity’s</w:t>
      </w:r>
      <w:r w:rsidR="00611BFD">
        <w:rPr>
          <w:rFonts w:asciiTheme="minorHAnsi" w:hAnsiTheme="minorHAnsi" w:cs="Times New Roman"/>
          <w:bCs/>
        </w:rPr>
        <w:t xml:space="preserve"> No response</w:t>
      </w:r>
      <w:r w:rsidR="00B26827">
        <w:rPr>
          <w:rFonts w:asciiTheme="minorHAnsi" w:hAnsiTheme="minorHAnsi" w:cs="Times New Roman"/>
          <w:bCs/>
        </w:rPr>
        <w:t xml:space="preserve"> (such as a description of the entity’s</w:t>
      </w:r>
      <w:r w:rsidR="00611BFD">
        <w:rPr>
          <w:rFonts w:asciiTheme="minorHAnsi" w:hAnsiTheme="minorHAnsi" w:cs="Times New Roman"/>
          <w:bCs/>
        </w:rPr>
        <w:t xml:space="preserve"> </w:t>
      </w:r>
      <w:r w:rsidR="00B26827">
        <w:rPr>
          <w:rFonts w:asciiTheme="minorHAnsi" w:hAnsiTheme="minorHAnsi" w:cs="Times New Roman"/>
          <w:bCs/>
        </w:rPr>
        <w:t>process for identifying applicable equipment</w:t>
      </w:r>
      <w:r w:rsidR="00C86C1E">
        <w:rPr>
          <w:rFonts w:asciiTheme="minorHAnsi" w:hAnsiTheme="minorHAnsi" w:cs="Times New Roman"/>
          <w:bCs/>
        </w:rPr>
        <w:t>, an explanation</w:t>
      </w:r>
      <w:r w:rsidR="003805B1">
        <w:rPr>
          <w:rFonts w:asciiTheme="minorHAnsi" w:hAnsiTheme="minorHAnsi" w:cs="Times New Roman"/>
          <w:bCs/>
        </w:rPr>
        <w:t xml:space="preserve"> regarding</w:t>
      </w:r>
      <w:r w:rsidR="00384B0D">
        <w:rPr>
          <w:rFonts w:asciiTheme="minorHAnsi" w:hAnsiTheme="minorHAnsi" w:cs="Times New Roman"/>
          <w:bCs/>
        </w:rPr>
        <w:t xml:space="preserve"> why they are confident there is no</w:t>
      </w:r>
      <w:r w:rsidR="00C86C1E">
        <w:rPr>
          <w:rFonts w:asciiTheme="minorHAnsi" w:hAnsiTheme="minorHAnsi" w:cs="Times New Roman"/>
          <w:bCs/>
        </w:rPr>
        <w:t xml:space="preserve"> such</w:t>
      </w:r>
      <w:r w:rsidR="00384B0D">
        <w:rPr>
          <w:rFonts w:asciiTheme="minorHAnsi" w:hAnsiTheme="minorHAnsi" w:cs="Times New Roman"/>
          <w:bCs/>
        </w:rPr>
        <w:t xml:space="preserve"> equipment</w:t>
      </w:r>
      <w:r w:rsidR="00C86C1E">
        <w:rPr>
          <w:rFonts w:asciiTheme="minorHAnsi" w:hAnsiTheme="minorHAnsi" w:cs="Times New Roman"/>
          <w:bCs/>
        </w:rPr>
        <w:t>, or other information</w:t>
      </w:r>
      <w:r w:rsidR="00B26827">
        <w:rPr>
          <w:rFonts w:asciiTheme="minorHAnsi" w:hAnsiTheme="minorHAnsi" w:cs="Times New Roman"/>
          <w:bCs/>
        </w:rPr>
        <w:t>)</w:t>
      </w:r>
      <w:r w:rsidR="00611BFD">
        <w:rPr>
          <w:rFonts w:asciiTheme="minorHAnsi" w:hAnsiTheme="minorHAnsi" w:cs="Times New Roman"/>
          <w:bCs/>
        </w:rPr>
        <w:t xml:space="preserve"> </w:t>
      </w:r>
      <w:r w:rsidR="00C86C1E">
        <w:rPr>
          <w:rFonts w:asciiTheme="minorHAnsi" w:hAnsiTheme="minorHAnsi" w:cs="Times New Roman"/>
          <w:bCs/>
        </w:rPr>
        <w:t>that provides</w:t>
      </w:r>
      <w:r w:rsidR="00611BFD">
        <w:rPr>
          <w:rFonts w:asciiTheme="minorHAnsi" w:hAnsiTheme="minorHAnsi" w:cs="Times New Roman"/>
          <w:bCs/>
        </w:rPr>
        <w:t xml:space="preserve"> the auditor with</w:t>
      </w:r>
      <w:r w:rsidR="00D63823">
        <w:rPr>
          <w:rFonts w:asciiTheme="minorHAnsi" w:hAnsiTheme="minorHAnsi" w:cs="Times New Roman"/>
          <w:bCs/>
        </w:rPr>
        <w:t xml:space="preserve"> the necessary</w:t>
      </w:r>
      <w:r w:rsidR="00611BFD">
        <w:rPr>
          <w:rFonts w:asciiTheme="minorHAnsi" w:hAnsiTheme="minorHAnsi" w:cs="Times New Roman"/>
          <w:bCs/>
        </w:rPr>
        <w:t xml:space="preserve"> reasonable assurance </w:t>
      </w:r>
      <w:r w:rsidR="000C07DB">
        <w:rPr>
          <w:rFonts w:asciiTheme="minorHAnsi" w:hAnsiTheme="minorHAnsi" w:cs="Times New Roman"/>
          <w:bCs/>
        </w:rPr>
        <w:t>that</w:t>
      </w:r>
      <w:r w:rsidR="00D63823">
        <w:rPr>
          <w:rFonts w:asciiTheme="minorHAnsi" w:hAnsiTheme="minorHAnsi" w:cs="Times New Roman"/>
          <w:bCs/>
        </w:rPr>
        <w:t xml:space="preserve"> there</w:t>
      </w:r>
      <w:r w:rsidR="000C07DB">
        <w:rPr>
          <w:rFonts w:asciiTheme="minorHAnsi" w:hAnsiTheme="minorHAnsi" w:cs="Times New Roman"/>
          <w:bCs/>
        </w:rPr>
        <w:t xml:space="preserve"> </w:t>
      </w:r>
      <w:r w:rsidR="00D63823">
        <w:rPr>
          <w:rFonts w:asciiTheme="minorHAnsi" w:hAnsiTheme="minorHAnsi" w:cs="Times New Roman"/>
          <w:bCs/>
        </w:rPr>
        <w:t>is no applicable equipment in the entity’s Area</w:t>
      </w:r>
      <w:r w:rsidR="00C86C1E">
        <w:rPr>
          <w:rFonts w:asciiTheme="minorHAnsi" w:hAnsiTheme="minorHAnsi" w:cs="Times New Roman"/>
          <w:bCs/>
        </w:rPr>
        <w:t xml:space="preserve"> may eliminate further audit testing of this requirement</w:t>
      </w:r>
      <w:r w:rsidR="000C07DB" w:rsidRPr="00144BC6">
        <w:rPr>
          <w:rFonts w:asciiTheme="minorHAnsi" w:hAnsiTheme="minorHAnsi"/>
        </w:rPr>
        <w:t>.</w:t>
      </w:r>
    </w:p>
    <w:p w14:paraId="772B96F8" w14:textId="77777777" w:rsidR="00EE5127" w:rsidRDefault="00EE5127" w:rsidP="00F04DA8">
      <w:pPr>
        <w:widowControl w:val="0"/>
        <w:rPr>
          <w:rFonts w:asciiTheme="minorHAnsi" w:hAnsiTheme="minorHAnsi" w:cs="Times New Roman"/>
          <w:b/>
          <w:bCs/>
        </w:rPr>
      </w:pPr>
    </w:p>
    <w:p w14:paraId="1761BEE9" w14:textId="77777777" w:rsidR="00EE5127" w:rsidRPr="00557049" w:rsidRDefault="00EE5127" w:rsidP="00EE5127">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17F35ED" w14:textId="77777777" w:rsidR="00013E13" w:rsidRDefault="00013E13" w:rsidP="00F04DA8">
      <w:pPr>
        <w:widowControl w:val="0"/>
        <w:rPr>
          <w:rFonts w:asciiTheme="minorHAnsi" w:hAnsiTheme="minorHAnsi" w:cs="Times New Roman"/>
          <w:b/>
          <w:bCs/>
        </w:rPr>
      </w:pPr>
    </w:p>
    <w:p w14:paraId="762F3ECD" w14:textId="77777777" w:rsidR="00013E13" w:rsidRDefault="00013E13" w:rsidP="00013E13">
      <w:pPr>
        <w:widowControl w:val="0"/>
        <w:shd w:val="clear" w:color="auto" w:fill="CDFFCD"/>
        <w:jc w:val="both"/>
        <w:rPr>
          <w:rFonts w:asciiTheme="minorHAnsi" w:hAnsiTheme="minorHAnsi" w:cs="Times New Roman"/>
          <w:bCs/>
          <w:color w:val="auto"/>
          <w:sz w:val="22"/>
          <w:szCs w:val="22"/>
        </w:rPr>
      </w:pPr>
    </w:p>
    <w:p w14:paraId="0D892846" w14:textId="77777777" w:rsidR="00013E13" w:rsidRPr="00705BB3" w:rsidRDefault="00013E13" w:rsidP="00013E13">
      <w:pPr>
        <w:widowControl w:val="0"/>
        <w:shd w:val="clear" w:color="auto" w:fill="CDFFCD"/>
        <w:jc w:val="both"/>
        <w:rPr>
          <w:rFonts w:asciiTheme="minorHAnsi" w:hAnsiTheme="minorHAnsi" w:cs="Times New Roman"/>
          <w:bCs/>
          <w:color w:val="auto"/>
          <w:sz w:val="22"/>
          <w:szCs w:val="22"/>
        </w:rPr>
      </w:pPr>
    </w:p>
    <w:p w14:paraId="3D47F05A" w14:textId="77777777" w:rsidR="00013E13" w:rsidRDefault="00013E13" w:rsidP="00013E13">
      <w:pPr>
        <w:rPr>
          <w:rFonts w:asciiTheme="minorHAnsi" w:hAnsiTheme="minorHAnsi" w:cs="Times New Roman"/>
          <w:b/>
        </w:rPr>
      </w:pPr>
    </w:p>
    <w:p w14:paraId="21B1CE66" w14:textId="77777777" w:rsidR="00013E13" w:rsidRDefault="00013E13" w:rsidP="00013E13">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25F3BC18"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283A2FD"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w:t>
      </w:r>
      <w:r w:rsidR="003F2164">
        <w:rPr>
          <w:rFonts w:asciiTheme="minorHAnsi" w:eastAsia="Calibri" w:hAnsiTheme="minorHAnsi" w:cs="Times New Roman"/>
          <w:sz w:val="22"/>
          <w:szCs w:val="22"/>
        </w:rPr>
        <w:t xml:space="preserve">xplanation, in your own words, </w:t>
      </w:r>
      <w:r>
        <w:rPr>
          <w:rFonts w:asciiTheme="minorHAnsi" w:eastAsia="Calibri" w:hAnsiTheme="minorHAnsi" w:cs="Times New Roman"/>
          <w:sz w:val="22"/>
          <w:szCs w:val="22"/>
        </w:rPr>
        <w:t>of how you comply with this Requirement. References to supplied evidence, including links to the appropriate page, are recommended.</w:t>
      </w:r>
    </w:p>
    <w:p w14:paraId="5F107536" w14:textId="77777777" w:rsidR="00F04DA8" w:rsidRPr="00705BB3" w:rsidRDefault="00F04DA8" w:rsidP="00F04DA8">
      <w:pPr>
        <w:widowControl w:val="0"/>
        <w:shd w:val="clear" w:color="auto" w:fill="CDFFCD"/>
        <w:jc w:val="both"/>
        <w:rPr>
          <w:rFonts w:asciiTheme="minorHAnsi" w:hAnsiTheme="minorHAnsi" w:cs="Times New Roman"/>
          <w:bCs/>
          <w:color w:val="auto"/>
          <w:sz w:val="22"/>
          <w:szCs w:val="22"/>
        </w:rPr>
      </w:pPr>
    </w:p>
    <w:p w14:paraId="156D8664" w14:textId="77777777" w:rsidR="00F04DA8" w:rsidRPr="00705BB3" w:rsidRDefault="00F04DA8" w:rsidP="00F04DA8">
      <w:pPr>
        <w:widowControl w:val="0"/>
        <w:shd w:val="clear" w:color="auto" w:fill="CDFFCD"/>
        <w:jc w:val="both"/>
        <w:rPr>
          <w:rFonts w:asciiTheme="minorHAnsi" w:hAnsiTheme="minorHAnsi" w:cs="Times New Roman"/>
          <w:bCs/>
          <w:color w:val="auto"/>
          <w:sz w:val="22"/>
          <w:szCs w:val="22"/>
        </w:rPr>
      </w:pPr>
    </w:p>
    <w:p w14:paraId="25C961C7" w14:textId="77777777" w:rsidR="00F04DA8" w:rsidRPr="006C43BC" w:rsidRDefault="00F04DA8" w:rsidP="00F04DA8">
      <w:pPr>
        <w:widowControl w:val="0"/>
        <w:spacing w:line="266" w:lineRule="exact"/>
        <w:rPr>
          <w:rFonts w:asciiTheme="minorHAnsi" w:hAnsiTheme="minorHAnsi" w:cs="Times New Roman"/>
          <w:b/>
          <w:bCs/>
        </w:rPr>
      </w:pPr>
    </w:p>
    <w:p w14:paraId="39B8D2A7" w14:textId="77777777" w:rsidR="00F04DA8" w:rsidRPr="0049380D" w:rsidRDefault="00F04DA8" w:rsidP="00F04DA8">
      <w:pPr>
        <w:pStyle w:val="RqtSection"/>
        <w:rPr>
          <w:rFonts w:cstheme="minorHAnsi"/>
          <w:iCs/>
        </w:rPr>
      </w:pPr>
      <w:r>
        <w:t xml:space="preserve">Evidence </w:t>
      </w:r>
      <w:proofErr w:type="spellStart"/>
      <w:r>
        <w:t>Requested</w:t>
      </w:r>
      <w:proofErr w:type="gramStart"/>
      <w:r w:rsidRPr="006C43BC">
        <w:t>:</w:t>
      </w:r>
      <w:r w:rsidR="0049380D" w:rsidRPr="00393F9C">
        <w:rPr>
          <w:vertAlign w:val="superscript"/>
        </w:rPr>
        <w:t>i</w:t>
      </w:r>
      <w:proofErr w:type="spellEnd"/>
      <w:proofErr w:type="gramEnd"/>
    </w:p>
    <w:tbl>
      <w:tblPr>
        <w:tblStyle w:val="TableGrid"/>
        <w:tblW w:w="10975" w:type="dxa"/>
        <w:shd w:val="clear" w:color="auto" w:fill="DCDCFF"/>
        <w:tblLook w:val="04A0" w:firstRow="1" w:lastRow="0" w:firstColumn="1" w:lastColumn="0" w:noHBand="0" w:noVBand="1"/>
      </w:tblPr>
      <w:tblGrid>
        <w:gridCol w:w="10975"/>
      </w:tblGrid>
      <w:tr w:rsidR="00F04DA8" w:rsidRPr="006C43BC" w14:paraId="0BFB9B60" w14:textId="77777777" w:rsidTr="0064785C">
        <w:tc>
          <w:tcPr>
            <w:tcW w:w="10975" w:type="dxa"/>
            <w:shd w:val="clear" w:color="auto" w:fill="DCDCFF"/>
          </w:tcPr>
          <w:p w14:paraId="027635D3"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F95FA5" w:rsidRPr="00676D1E" w14:paraId="523458E1" w14:textId="77777777" w:rsidTr="0064785C">
        <w:tc>
          <w:tcPr>
            <w:tcW w:w="10975" w:type="dxa"/>
            <w:shd w:val="clear" w:color="auto" w:fill="DCDCFF"/>
          </w:tcPr>
          <w:p w14:paraId="717936B3" w14:textId="22A42C80" w:rsidR="00F95FA5" w:rsidRDefault="00AF7570" w:rsidP="00AF7570">
            <w:pPr>
              <w:widowControl w:val="0"/>
              <w:jc w:val="both"/>
              <w:rPr>
                <w:rFonts w:asciiTheme="minorHAnsi" w:hAnsiTheme="minorHAnsi" w:cs="Times New Roman"/>
                <w:color w:val="auto"/>
              </w:rPr>
            </w:pPr>
            <w:r>
              <w:rPr>
                <w:rFonts w:asciiTheme="minorHAnsi" w:hAnsiTheme="minorHAnsi" w:cs="Times New Roman"/>
                <w:color w:val="auto"/>
              </w:rPr>
              <w:t>Evidence identifying</w:t>
            </w:r>
            <w:r w:rsidR="00F95FA5">
              <w:rPr>
                <w:rFonts w:asciiTheme="minorHAnsi" w:hAnsiTheme="minorHAnsi" w:cs="Times New Roman"/>
                <w:color w:val="auto"/>
              </w:rPr>
              <w:t xml:space="preserve"> GMD event(s) occurring during the compliance monitoring period</w:t>
            </w:r>
            <w:r>
              <w:rPr>
                <w:rFonts w:asciiTheme="minorHAnsi" w:hAnsiTheme="minorHAnsi" w:cs="Times New Roman"/>
                <w:color w:val="auto"/>
              </w:rPr>
              <w:t xml:space="preserve"> to verify implementation of the plan</w:t>
            </w:r>
            <w:r w:rsidR="00F95FA5">
              <w:rPr>
                <w:rFonts w:asciiTheme="minorHAnsi" w:hAnsiTheme="minorHAnsi" w:cs="Times New Roman"/>
                <w:color w:val="auto"/>
              </w:rPr>
              <w:t>.</w:t>
            </w:r>
            <w:r w:rsidR="001543FB">
              <w:rPr>
                <w:rFonts w:asciiTheme="minorHAnsi" w:hAnsiTheme="minorHAnsi" w:cs="Times New Roman"/>
                <w:color w:val="auto"/>
              </w:rPr>
              <w:t xml:space="preserve"> </w:t>
            </w:r>
          </w:p>
        </w:tc>
      </w:tr>
      <w:tr w:rsidR="00C03D06" w:rsidRPr="00676D1E" w14:paraId="46DB05C0" w14:textId="77777777" w:rsidTr="0064785C">
        <w:tc>
          <w:tcPr>
            <w:tcW w:w="10975" w:type="dxa"/>
            <w:shd w:val="clear" w:color="auto" w:fill="DCDCFF"/>
          </w:tcPr>
          <w:p w14:paraId="4E845C70" w14:textId="392E5D90" w:rsidR="00C03D06" w:rsidRDefault="00C03D06" w:rsidP="008E2C03">
            <w:pPr>
              <w:widowControl w:val="0"/>
              <w:jc w:val="both"/>
              <w:rPr>
                <w:rFonts w:asciiTheme="minorHAnsi" w:hAnsiTheme="minorHAnsi" w:cs="Times New Roman"/>
                <w:color w:val="auto"/>
              </w:rPr>
            </w:pPr>
            <w:r>
              <w:rPr>
                <w:rFonts w:asciiTheme="minorHAnsi" w:hAnsiTheme="minorHAnsi" w:cs="Times New Roman"/>
                <w:color w:val="auto"/>
              </w:rPr>
              <w:t>Provide documented Operating Procedure or Operating Process.</w:t>
            </w:r>
          </w:p>
        </w:tc>
      </w:tr>
      <w:tr w:rsidR="00C03D06" w:rsidRPr="00676D1E" w14:paraId="374D597A" w14:textId="77777777" w:rsidTr="0064785C">
        <w:tc>
          <w:tcPr>
            <w:tcW w:w="10975" w:type="dxa"/>
            <w:shd w:val="clear" w:color="auto" w:fill="DCDCFF"/>
          </w:tcPr>
          <w:p w14:paraId="5B7875D5" w14:textId="42C827DE" w:rsidR="00C03D06" w:rsidRDefault="00C03D06" w:rsidP="008E2C03">
            <w:pPr>
              <w:widowControl w:val="0"/>
              <w:jc w:val="both"/>
              <w:rPr>
                <w:rFonts w:asciiTheme="minorHAnsi" w:hAnsiTheme="minorHAnsi" w:cs="Times New Roman"/>
                <w:color w:val="auto"/>
              </w:rPr>
            </w:pPr>
            <w:r>
              <w:rPr>
                <w:rFonts w:asciiTheme="minorHAnsi" w:hAnsiTheme="minorHAnsi" w:cs="Times New Roman"/>
                <w:color w:val="auto"/>
              </w:rPr>
              <w:t>Evidence of implementation, such as operator logs, voice recordings, or other communications, for times when the Operating Procedure or Operating Process was executed during a GMD event.</w:t>
            </w:r>
          </w:p>
        </w:tc>
      </w:tr>
    </w:tbl>
    <w:p w14:paraId="2D6E62C8" w14:textId="77777777" w:rsidR="00F04DA8" w:rsidRDefault="00F04DA8" w:rsidP="00F04DA8">
      <w:pPr>
        <w:widowControl w:val="0"/>
        <w:spacing w:line="266" w:lineRule="exact"/>
        <w:rPr>
          <w:rFonts w:asciiTheme="minorHAnsi" w:hAnsiTheme="minorHAnsi" w:cs="Times New Roman"/>
          <w:b/>
          <w:bCs/>
          <w:color w:val="auto"/>
        </w:rPr>
      </w:pPr>
    </w:p>
    <w:p w14:paraId="25A61ED5" w14:textId="77777777" w:rsidR="00E25FE9" w:rsidRDefault="00E25FE9" w:rsidP="00F04DA8">
      <w:pPr>
        <w:widowControl w:val="0"/>
        <w:spacing w:line="266" w:lineRule="exact"/>
        <w:rPr>
          <w:rFonts w:asciiTheme="minorHAnsi" w:hAnsiTheme="minorHAnsi" w:cs="Times New Roman"/>
          <w:b/>
          <w:bCs/>
          <w:color w:val="auto"/>
        </w:rPr>
      </w:pPr>
    </w:p>
    <w:p w14:paraId="70F987ED" w14:textId="77777777" w:rsidR="00E25FE9" w:rsidRDefault="00E25FE9" w:rsidP="00F04DA8">
      <w:pPr>
        <w:widowControl w:val="0"/>
        <w:spacing w:line="266" w:lineRule="exact"/>
        <w:rPr>
          <w:rFonts w:asciiTheme="minorHAnsi" w:hAnsiTheme="minorHAnsi" w:cs="Times New Roman"/>
          <w:b/>
          <w:bCs/>
          <w:color w:val="auto"/>
        </w:rPr>
      </w:pPr>
    </w:p>
    <w:p w14:paraId="7ED054BD"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4DA8" w:rsidRPr="00812336" w14:paraId="28236053" w14:textId="77777777" w:rsidTr="003062CC">
        <w:tc>
          <w:tcPr>
            <w:tcW w:w="10995" w:type="dxa"/>
            <w:gridSpan w:val="6"/>
            <w:shd w:val="clear" w:color="auto" w:fill="DCDCFF"/>
            <w:vAlign w:val="bottom"/>
          </w:tcPr>
          <w:p w14:paraId="194FDECF" w14:textId="77777777" w:rsidR="00F04DA8" w:rsidRPr="00812336" w:rsidRDefault="00F04DA8" w:rsidP="003062C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3F2164">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F04DA8" w:rsidRPr="00812336" w14:paraId="17D4588E" w14:textId="77777777" w:rsidTr="003062CC">
        <w:tc>
          <w:tcPr>
            <w:tcW w:w="2340" w:type="dxa"/>
            <w:shd w:val="clear" w:color="auto" w:fill="DCDCFF"/>
            <w:vAlign w:val="bottom"/>
          </w:tcPr>
          <w:p w14:paraId="703321A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49FB54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DFB2184"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6419701"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D4AB0DE"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57014A1"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794A0B45" w14:textId="77777777" w:rsidTr="003062CC">
        <w:tc>
          <w:tcPr>
            <w:tcW w:w="2340" w:type="dxa"/>
            <w:shd w:val="clear" w:color="auto" w:fill="CDFFCD"/>
          </w:tcPr>
          <w:p w14:paraId="485600E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66E469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F95BA3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15706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786D21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A36F46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5F6C478D" w14:textId="77777777" w:rsidTr="003062CC">
        <w:tc>
          <w:tcPr>
            <w:tcW w:w="2340" w:type="dxa"/>
            <w:shd w:val="clear" w:color="auto" w:fill="CDFFCD"/>
          </w:tcPr>
          <w:p w14:paraId="289F54B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381099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A4A1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D9127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4A675B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0FDB09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7A0A0F12" w14:textId="77777777" w:rsidTr="003062CC">
        <w:tc>
          <w:tcPr>
            <w:tcW w:w="2340" w:type="dxa"/>
            <w:shd w:val="clear" w:color="auto" w:fill="CDFFCD"/>
          </w:tcPr>
          <w:p w14:paraId="5801DCF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87BDE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48D71FB"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15A77F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B8E0A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900B3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6EF10F2F" w14:textId="77777777" w:rsidR="00F04DA8" w:rsidRPr="006C43BC" w:rsidRDefault="00F04DA8" w:rsidP="00F04DA8">
      <w:pPr>
        <w:widowControl w:val="0"/>
        <w:rPr>
          <w:rFonts w:asciiTheme="minorHAnsi" w:hAnsiTheme="minorHAnsi" w:cs="Times New Roman"/>
        </w:rPr>
      </w:pPr>
    </w:p>
    <w:p w14:paraId="30E082C6"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F04DA8" w:rsidRPr="00705BB3" w14:paraId="65CECEEE" w14:textId="77777777" w:rsidTr="0048238D">
        <w:tc>
          <w:tcPr>
            <w:tcW w:w="10975" w:type="dxa"/>
            <w:shd w:val="clear" w:color="auto" w:fill="auto"/>
          </w:tcPr>
          <w:p w14:paraId="3005B3C8" w14:textId="77777777" w:rsidR="00F04DA8" w:rsidRPr="00705BB3" w:rsidRDefault="00F04DA8" w:rsidP="003062CC">
            <w:pPr>
              <w:widowControl w:val="0"/>
              <w:rPr>
                <w:rFonts w:asciiTheme="minorHAnsi" w:hAnsiTheme="minorHAnsi" w:cs="Times New Roman"/>
                <w:sz w:val="22"/>
                <w:szCs w:val="22"/>
              </w:rPr>
            </w:pPr>
          </w:p>
        </w:tc>
      </w:tr>
      <w:tr w:rsidR="00F04DA8" w:rsidRPr="00705BB3" w14:paraId="7FC8C200" w14:textId="77777777" w:rsidTr="0048238D">
        <w:tc>
          <w:tcPr>
            <w:tcW w:w="10975" w:type="dxa"/>
            <w:shd w:val="clear" w:color="auto" w:fill="auto"/>
          </w:tcPr>
          <w:p w14:paraId="49E5610B" w14:textId="77777777" w:rsidR="00F04DA8" w:rsidRPr="00705BB3" w:rsidRDefault="00F04DA8" w:rsidP="003062CC">
            <w:pPr>
              <w:widowControl w:val="0"/>
              <w:rPr>
                <w:rFonts w:asciiTheme="minorHAnsi" w:hAnsiTheme="minorHAnsi" w:cs="Times New Roman"/>
                <w:sz w:val="22"/>
                <w:szCs w:val="22"/>
              </w:rPr>
            </w:pPr>
          </w:p>
        </w:tc>
      </w:tr>
      <w:tr w:rsidR="00F04DA8" w:rsidRPr="00705BB3" w14:paraId="287F596E" w14:textId="77777777" w:rsidTr="0048238D">
        <w:tc>
          <w:tcPr>
            <w:tcW w:w="10975" w:type="dxa"/>
            <w:shd w:val="clear" w:color="auto" w:fill="auto"/>
          </w:tcPr>
          <w:p w14:paraId="53C7867D" w14:textId="77777777" w:rsidR="00F04DA8" w:rsidRPr="00705BB3" w:rsidRDefault="00F04DA8" w:rsidP="003062CC">
            <w:pPr>
              <w:widowControl w:val="0"/>
              <w:rPr>
                <w:rFonts w:asciiTheme="minorHAnsi" w:hAnsiTheme="minorHAnsi" w:cs="Times New Roman"/>
                <w:sz w:val="22"/>
                <w:szCs w:val="22"/>
              </w:rPr>
            </w:pPr>
          </w:p>
        </w:tc>
      </w:tr>
    </w:tbl>
    <w:p w14:paraId="389699A4" w14:textId="77777777" w:rsidR="00F04DA8" w:rsidRPr="006C43BC" w:rsidRDefault="00F04DA8" w:rsidP="00F04DA8">
      <w:pPr>
        <w:widowControl w:val="0"/>
        <w:rPr>
          <w:rFonts w:asciiTheme="minorHAnsi" w:hAnsiTheme="minorHAnsi" w:cs="Times New Roman"/>
        </w:rPr>
      </w:pPr>
    </w:p>
    <w:p w14:paraId="049109C4" w14:textId="67C50357" w:rsidR="00F04DA8" w:rsidRPr="00722443" w:rsidRDefault="00F04DA8" w:rsidP="00F04DA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114853">
        <w:t>EOP-</w:t>
      </w:r>
      <w:r w:rsidR="00753BB3">
        <w:t>010</w:t>
      </w:r>
      <w:r w:rsidR="00114853">
        <w:t>-1</w:t>
      </w:r>
      <w:r w:rsidRPr="00F548BE">
        <w:t>, R</w:t>
      </w:r>
      <w:r w:rsidR="00612B97">
        <w:t>3</w:t>
      </w:r>
    </w:p>
    <w:p w14:paraId="4B3047DE"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3E4476" w:rsidRPr="00E03541" w14:paraId="4722C737" w14:textId="77777777" w:rsidTr="0048238D">
        <w:tc>
          <w:tcPr>
            <w:tcW w:w="374" w:type="dxa"/>
          </w:tcPr>
          <w:p w14:paraId="1641FB2C" w14:textId="77777777" w:rsidR="003E4476" w:rsidRPr="00E03541" w:rsidRDefault="003E4476" w:rsidP="00593B30">
            <w:pPr>
              <w:widowControl w:val="0"/>
              <w:tabs>
                <w:tab w:val="left" w:pos="0"/>
                <w:tab w:val="left" w:pos="900"/>
                <w:tab w:val="left" w:pos="6360"/>
              </w:tabs>
              <w:rPr>
                <w:rFonts w:asciiTheme="minorHAnsi" w:hAnsiTheme="minorHAnsi" w:cs="Times New Roman"/>
                <w:bCs/>
              </w:rPr>
            </w:pPr>
          </w:p>
        </w:tc>
        <w:tc>
          <w:tcPr>
            <w:tcW w:w="10601" w:type="dxa"/>
            <w:tcBorders>
              <w:bottom w:val="single" w:sz="4" w:space="0" w:color="auto"/>
            </w:tcBorders>
            <w:shd w:val="clear" w:color="auto" w:fill="DCDCFF"/>
          </w:tcPr>
          <w:p w14:paraId="7C4D938F" w14:textId="387A5387" w:rsidR="003E4476" w:rsidRPr="00E03541" w:rsidRDefault="003E4476" w:rsidP="008E2C03">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3</w:t>
            </w:r>
            <w:r w:rsidRPr="0006226D">
              <w:rPr>
                <w:rFonts w:asciiTheme="minorHAnsi" w:hAnsiTheme="minorHAnsi" w:cs="Times New Roman"/>
                <w:color w:val="auto"/>
              </w:rPr>
              <w:t xml:space="preserve">) Confirm </w:t>
            </w:r>
            <w:r>
              <w:rPr>
                <w:rFonts w:asciiTheme="minorHAnsi" w:hAnsiTheme="minorHAnsi" w:cs="Times New Roman"/>
                <w:color w:val="auto"/>
              </w:rPr>
              <w:t xml:space="preserve">the Operating Procedure or Operating Process </w:t>
            </w:r>
            <w:r w:rsidRPr="0006226D">
              <w:rPr>
                <w:rFonts w:asciiTheme="minorHAnsi" w:hAnsiTheme="minorHAnsi" w:cs="Times New Roman"/>
                <w:color w:val="auto"/>
              </w:rPr>
              <w:t xml:space="preserve">was developed </w:t>
            </w:r>
            <w:r w:rsidR="008E2C03">
              <w:rPr>
                <w:rFonts w:asciiTheme="minorHAnsi" w:hAnsiTheme="minorHAnsi" w:cs="Times New Roman"/>
                <w:color w:val="auto"/>
              </w:rPr>
              <w:t>and maintained to mitigate the effects of GMD events</w:t>
            </w:r>
            <w:r w:rsidR="0048238D">
              <w:rPr>
                <w:rFonts w:asciiTheme="minorHAnsi" w:hAnsiTheme="minorHAnsi" w:cs="Times New Roman"/>
                <w:color w:val="auto"/>
              </w:rPr>
              <w:t xml:space="preserve"> and:</w:t>
            </w:r>
          </w:p>
        </w:tc>
      </w:tr>
      <w:tr w:rsidR="00C05754" w:rsidRPr="00E03541" w14:paraId="43158360" w14:textId="77777777" w:rsidTr="0048238D">
        <w:tc>
          <w:tcPr>
            <w:tcW w:w="374" w:type="dxa"/>
          </w:tcPr>
          <w:p w14:paraId="2247D346" w14:textId="77777777" w:rsidR="00C05754" w:rsidRPr="00E03541" w:rsidRDefault="00C05754" w:rsidP="00593B30">
            <w:pPr>
              <w:widowControl w:val="0"/>
              <w:tabs>
                <w:tab w:val="left" w:pos="0"/>
                <w:tab w:val="left" w:pos="900"/>
                <w:tab w:val="left" w:pos="6360"/>
              </w:tabs>
              <w:rPr>
                <w:rFonts w:asciiTheme="minorHAnsi" w:hAnsiTheme="minorHAnsi" w:cs="Times New Roman"/>
                <w:bCs/>
              </w:rPr>
            </w:pPr>
          </w:p>
        </w:tc>
        <w:tc>
          <w:tcPr>
            <w:tcW w:w="10601" w:type="dxa"/>
            <w:tcBorders>
              <w:bottom w:val="single" w:sz="4" w:space="0" w:color="auto"/>
            </w:tcBorders>
            <w:shd w:val="clear" w:color="auto" w:fill="DCDCFF"/>
          </w:tcPr>
          <w:p w14:paraId="3880DFC6" w14:textId="3E265BCF" w:rsidR="00C05754" w:rsidRPr="00D00965" w:rsidRDefault="0048238D" w:rsidP="0048238D">
            <w:pPr>
              <w:pStyle w:val="ListParagraph"/>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3.1) </w:t>
            </w:r>
            <w:r w:rsidR="00C05754" w:rsidRPr="00D00965">
              <w:rPr>
                <w:rFonts w:asciiTheme="minorHAnsi" w:hAnsiTheme="minorHAnsi" w:cs="Times New Roman"/>
                <w:color w:val="auto"/>
              </w:rPr>
              <w:t xml:space="preserve">Included </w:t>
            </w:r>
            <w:r w:rsidR="00C05754" w:rsidRPr="008E2C03">
              <w:rPr>
                <w:rFonts w:asciiTheme="minorHAnsi" w:hAnsiTheme="minorHAnsi" w:cs="Times New Roman"/>
                <w:color w:val="auto"/>
              </w:rPr>
              <w:t>Steps or tasks to receive space weather information</w:t>
            </w:r>
          </w:p>
        </w:tc>
      </w:tr>
      <w:tr w:rsidR="00C05754" w:rsidRPr="00E03541" w14:paraId="015B40DA" w14:textId="77777777" w:rsidTr="0048238D">
        <w:tc>
          <w:tcPr>
            <w:tcW w:w="374" w:type="dxa"/>
          </w:tcPr>
          <w:p w14:paraId="2B5DC88D" w14:textId="77777777" w:rsidR="00C05754" w:rsidRPr="00E03541" w:rsidRDefault="00C05754" w:rsidP="00593B30">
            <w:pPr>
              <w:widowControl w:val="0"/>
              <w:tabs>
                <w:tab w:val="left" w:pos="0"/>
                <w:tab w:val="left" w:pos="900"/>
                <w:tab w:val="left" w:pos="6360"/>
              </w:tabs>
              <w:rPr>
                <w:rFonts w:asciiTheme="minorHAnsi" w:hAnsiTheme="minorHAnsi" w:cs="Times New Roman"/>
                <w:bCs/>
              </w:rPr>
            </w:pPr>
          </w:p>
        </w:tc>
        <w:tc>
          <w:tcPr>
            <w:tcW w:w="10601" w:type="dxa"/>
            <w:tcBorders>
              <w:bottom w:val="single" w:sz="4" w:space="0" w:color="auto"/>
            </w:tcBorders>
            <w:shd w:val="clear" w:color="auto" w:fill="DCDCFF"/>
          </w:tcPr>
          <w:p w14:paraId="47E3986C" w14:textId="6E19B356" w:rsidR="00C05754" w:rsidRPr="00D00965" w:rsidRDefault="00C05754" w:rsidP="0048238D">
            <w:pPr>
              <w:pStyle w:val="ListParagraph"/>
              <w:widowControl w:val="0"/>
              <w:tabs>
                <w:tab w:val="left" w:pos="0"/>
                <w:tab w:val="left" w:pos="900"/>
                <w:tab w:val="left" w:pos="6360"/>
              </w:tabs>
              <w:rPr>
                <w:rFonts w:asciiTheme="minorHAnsi" w:hAnsiTheme="minorHAnsi" w:cs="Times New Roman"/>
                <w:color w:val="auto"/>
              </w:rPr>
            </w:pPr>
            <w:r w:rsidRPr="00D00965">
              <w:rPr>
                <w:rFonts w:asciiTheme="minorHAnsi" w:hAnsiTheme="minorHAnsi" w:cs="Times New Roman"/>
                <w:color w:val="auto"/>
              </w:rPr>
              <w:t xml:space="preserve">(Part 3.2) </w:t>
            </w:r>
            <w:r w:rsidR="00D00965" w:rsidRPr="00D00965">
              <w:rPr>
                <w:rFonts w:asciiTheme="minorHAnsi" w:hAnsiTheme="minorHAnsi" w:cs="Times New Roman"/>
                <w:color w:val="auto"/>
              </w:rPr>
              <w:t>Included System Operator actions to be initiated based on predetermined conditions.</w:t>
            </w:r>
          </w:p>
        </w:tc>
      </w:tr>
      <w:tr w:rsidR="00C05754" w:rsidRPr="00E03541" w14:paraId="249073DE" w14:textId="77777777" w:rsidTr="0048238D">
        <w:tc>
          <w:tcPr>
            <w:tcW w:w="374" w:type="dxa"/>
          </w:tcPr>
          <w:p w14:paraId="24D3A7F7" w14:textId="77777777" w:rsidR="00C05754" w:rsidRPr="00E03541" w:rsidRDefault="00C05754" w:rsidP="00593B30">
            <w:pPr>
              <w:widowControl w:val="0"/>
              <w:tabs>
                <w:tab w:val="left" w:pos="0"/>
                <w:tab w:val="left" w:pos="900"/>
                <w:tab w:val="left" w:pos="6360"/>
              </w:tabs>
              <w:rPr>
                <w:rFonts w:asciiTheme="minorHAnsi" w:hAnsiTheme="minorHAnsi" w:cs="Times New Roman"/>
                <w:bCs/>
              </w:rPr>
            </w:pPr>
          </w:p>
        </w:tc>
        <w:tc>
          <w:tcPr>
            <w:tcW w:w="10601" w:type="dxa"/>
            <w:tcBorders>
              <w:bottom w:val="single" w:sz="4" w:space="0" w:color="auto"/>
            </w:tcBorders>
            <w:shd w:val="clear" w:color="auto" w:fill="DCDCFF"/>
          </w:tcPr>
          <w:p w14:paraId="66DF6E1E" w14:textId="7C1A061C" w:rsidR="00C05754" w:rsidRPr="00D00965" w:rsidRDefault="00D00965" w:rsidP="0048238D">
            <w:pPr>
              <w:pStyle w:val="ListParagraph"/>
              <w:widowControl w:val="0"/>
              <w:tabs>
                <w:tab w:val="left" w:pos="0"/>
                <w:tab w:val="left" w:pos="900"/>
                <w:tab w:val="left" w:pos="6360"/>
              </w:tabs>
              <w:rPr>
                <w:rFonts w:asciiTheme="minorHAnsi" w:hAnsiTheme="minorHAnsi" w:cs="Times New Roman"/>
                <w:color w:val="auto"/>
              </w:rPr>
            </w:pPr>
            <w:r w:rsidRPr="00D00965">
              <w:rPr>
                <w:rFonts w:asciiTheme="minorHAnsi" w:hAnsiTheme="minorHAnsi" w:cs="Times New Roman"/>
                <w:color w:val="auto"/>
              </w:rPr>
              <w:t xml:space="preserve">(Part 3.3) </w:t>
            </w:r>
            <w:r w:rsidR="0048238D">
              <w:rPr>
                <w:rFonts w:asciiTheme="minorHAnsi" w:hAnsiTheme="minorHAnsi" w:cs="Times New Roman"/>
                <w:color w:val="auto"/>
              </w:rPr>
              <w:t>Included t</w:t>
            </w:r>
            <w:r w:rsidRPr="00D00965">
              <w:rPr>
                <w:rFonts w:asciiTheme="minorHAnsi" w:hAnsiTheme="minorHAnsi" w:cs="Times New Roman"/>
                <w:color w:val="auto"/>
              </w:rPr>
              <w:t>he conditions for terminating the Operating Procedure or Operating Process.</w:t>
            </w:r>
          </w:p>
        </w:tc>
      </w:tr>
      <w:tr w:rsidR="003E4476" w:rsidRPr="00E03541" w14:paraId="7C5B0189" w14:textId="77777777" w:rsidTr="0048238D">
        <w:tc>
          <w:tcPr>
            <w:tcW w:w="374" w:type="dxa"/>
          </w:tcPr>
          <w:p w14:paraId="1C4162F9" w14:textId="77777777" w:rsidR="003E4476" w:rsidRPr="00E03541" w:rsidRDefault="003E4476" w:rsidP="00593B30">
            <w:pPr>
              <w:widowControl w:val="0"/>
              <w:tabs>
                <w:tab w:val="left" w:pos="0"/>
                <w:tab w:val="left" w:pos="900"/>
                <w:tab w:val="left" w:pos="6360"/>
              </w:tabs>
              <w:rPr>
                <w:rFonts w:asciiTheme="minorHAnsi" w:hAnsiTheme="minorHAnsi" w:cs="Times New Roman"/>
                <w:bCs/>
              </w:rPr>
            </w:pPr>
          </w:p>
        </w:tc>
        <w:tc>
          <w:tcPr>
            <w:tcW w:w="10601" w:type="dxa"/>
            <w:tcBorders>
              <w:bottom w:val="single" w:sz="4" w:space="0" w:color="auto"/>
            </w:tcBorders>
            <w:shd w:val="clear" w:color="auto" w:fill="DCDCFF"/>
          </w:tcPr>
          <w:p w14:paraId="137EA3B5" w14:textId="77777777" w:rsidR="003E4476" w:rsidRPr="00E03541" w:rsidRDefault="003E4476" w:rsidP="00663B68">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3</w:t>
            </w:r>
            <w:r w:rsidRPr="0006226D">
              <w:rPr>
                <w:rFonts w:asciiTheme="minorHAnsi" w:hAnsiTheme="minorHAnsi" w:cs="Times New Roman"/>
                <w:color w:val="auto"/>
              </w:rPr>
              <w:t xml:space="preserve">) Verify implementation of </w:t>
            </w:r>
            <w:r w:rsidR="00663B68">
              <w:rPr>
                <w:rFonts w:asciiTheme="minorHAnsi" w:hAnsiTheme="minorHAnsi" w:cs="Times New Roman"/>
                <w:color w:val="auto"/>
              </w:rPr>
              <w:t>the Operating Procedure or Operating Process</w:t>
            </w:r>
            <w:r w:rsidRPr="0006226D">
              <w:rPr>
                <w:rFonts w:asciiTheme="minorHAnsi" w:hAnsiTheme="minorHAnsi" w:cs="Times New Roman"/>
                <w:color w:val="auto"/>
              </w:rPr>
              <w:t xml:space="preserve"> </w:t>
            </w:r>
            <w:r>
              <w:rPr>
                <w:rFonts w:asciiTheme="minorHAnsi" w:hAnsiTheme="minorHAnsi" w:cs="Times New Roman"/>
                <w:color w:val="auto"/>
              </w:rPr>
              <w:t>(see note below)</w:t>
            </w:r>
          </w:p>
        </w:tc>
      </w:tr>
      <w:tr w:rsidR="003E4476" w:rsidRPr="00E03541" w14:paraId="1804EEFA" w14:textId="77777777" w:rsidTr="0048238D">
        <w:tc>
          <w:tcPr>
            <w:tcW w:w="374" w:type="dxa"/>
          </w:tcPr>
          <w:p w14:paraId="4A56DA1B" w14:textId="77777777" w:rsidR="003E4476" w:rsidRPr="00E03541" w:rsidRDefault="003E4476" w:rsidP="00593B30">
            <w:pPr>
              <w:widowControl w:val="0"/>
              <w:tabs>
                <w:tab w:val="left" w:pos="0"/>
                <w:tab w:val="left" w:pos="900"/>
                <w:tab w:val="left" w:pos="6360"/>
              </w:tabs>
              <w:rPr>
                <w:rFonts w:asciiTheme="minorHAnsi" w:hAnsiTheme="minorHAnsi" w:cs="Times New Roman"/>
                <w:bCs/>
              </w:rPr>
            </w:pPr>
          </w:p>
        </w:tc>
        <w:tc>
          <w:tcPr>
            <w:tcW w:w="10601" w:type="dxa"/>
            <w:tcBorders>
              <w:bottom w:val="single" w:sz="4" w:space="0" w:color="auto"/>
            </w:tcBorders>
            <w:shd w:val="clear" w:color="auto" w:fill="DCDCFF"/>
          </w:tcPr>
          <w:p w14:paraId="00FA2909" w14:textId="25CCBE56" w:rsidR="00663B68" w:rsidRPr="0006226D" w:rsidRDefault="00663B68" w:rsidP="00663B68">
            <w:pPr>
              <w:widowControl w:val="0"/>
              <w:tabs>
                <w:tab w:val="left" w:pos="503"/>
                <w:tab w:val="left" w:pos="900"/>
                <w:tab w:val="left" w:pos="6360"/>
              </w:tabs>
              <w:ind w:left="323"/>
              <w:rPr>
                <w:rFonts w:asciiTheme="minorHAnsi" w:hAnsiTheme="minorHAnsi" w:cs="Times New Roman"/>
                <w:color w:val="auto"/>
              </w:rPr>
            </w:pPr>
            <w:r>
              <w:rPr>
                <w:rFonts w:asciiTheme="minorHAnsi" w:hAnsiTheme="minorHAnsi" w:cs="Times New Roman"/>
                <w:color w:val="auto"/>
              </w:rPr>
              <w:t>(R3.2) Verify System Operator actions were initiated based on predetermined conditions</w:t>
            </w:r>
            <w:r w:rsidR="008E2C03">
              <w:rPr>
                <w:rFonts w:asciiTheme="minorHAnsi" w:hAnsiTheme="minorHAnsi" w:cs="Times New Roman"/>
                <w:color w:val="auto"/>
              </w:rPr>
              <w:t>.</w:t>
            </w:r>
          </w:p>
        </w:tc>
      </w:tr>
      <w:tr w:rsidR="00663B68" w:rsidRPr="00E03541" w14:paraId="6741D0FA" w14:textId="77777777" w:rsidTr="0048238D">
        <w:tc>
          <w:tcPr>
            <w:tcW w:w="374" w:type="dxa"/>
          </w:tcPr>
          <w:p w14:paraId="1050A2D9" w14:textId="77777777" w:rsidR="00663B68" w:rsidRPr="00E03541" w:rsidRDefault="00663B68" w:rsidP="00593B30">
            <w:pPr>
              <w:widowControl w:val="0"/>
              <w:tabs>
                <w:tab w:val="left" w:pos="0"/>
                <w:tab w:val="left" w:pos="900"/>
                <w:tab w:val="left" w:pos="6360"/>
              </w:tabs>
              <w:rPr>
                <w:rFonts w:asciiTheme="minorHAnsi" w:hAnsiTheme="minorHAnsi" w:cs="Times New Roman"/>
                <w:bCs/>
              </w:rPr>
            </w:pPr>
          </w:p>
        </w:tc>
        <w:tc>
          <w:tcPr>
            <w:tcW w:w="10601" w:type="dxa"/>
            <w:tcBorders>
              <w:bottom w:val="single" w:sz="4" w:space="0" w:color="auto"/>
            </w:tcBorders>
            <w:shd w:val="clear" w:color="auto" w:fill="DCDCFF"/>
          </w:tcPr>
          <w:p w14:paraId="00841C64" w14:textId="3AAE9F44" w:rsidR="00663B68" w:rsidRDefault="00663B68" w:rsidP="00663B68">
            <w:pPr>
              <w:widowControl w:val="0"/>
              <w:tabs>
                <w:tab w:val="left" w:pos="503"/>
                <w:tab w:val="left" w:pos="900"/>
                <w:tab w:val="left" w:pos="6360"/>
              </w:tabs>
              <w:ind w:left="323"/>
              <w:rPr>
                <w:rFonts w:asciiTheme="minorHAnsi" w:hAnsiTheme="minorHAnsi" w:cs="Times New Roman"/>
                <w:color w:val="auto"/>
              </w:rPr>
            </w:pPr>
            <w:r>
              <w:rPr>
                <w:rFonts w:asciiTheme="minorHAnsi" w:hAnsiTheme="minorHAnsi" w:cs="Times New Roman"/>
                <w:color w:val="auto"/>
              </w:rPr>
              <w:t>(R3.3) Verify the Operating Procedure or Operating Process was terminated at specified conditions</w:t>
            </w:r>
            <w:r w:rsidR="008E2C03">
              <w:rPr>
                <w:rFonts w:asciiTheme="minorHAnsi" w:hAnsiTheme="minorHAnsi" w:cs="Times New Roman"/>
                <w:color w:val="auto"/>
              </w:rPr>
              <w:t>.</w:t>
            </w:r>
          </w:p>
        </w:tc>
      </w:tr>
      <w:tr w:rsidR="003E4476" w:rsidRPr="006C43BC" w14:paraId="634D0DDC" w14:textId="77777777" w:rsidTr="0048238D">
        <w:tc>
          <w:tcPr>
            <w:tcW w:w="10975" w:type="dxa"/>
            <w:gridSpan w:val="2"/>
            <w:shd w:val="clear" w:color="auto" w:fill="DCDCFF"/>
          </w:tcPr>
          <w:tbl>
            <w:tblPr>
              <w:tblW w:w="0" w:type="auto"/>
              <w:tblBorders>
                <w:top w:val="nil"/>
                <w:left w:val="nil"/>
                <w:bottom w:val="nil"/>
                <w:right w:val="nil"/>
              </w:tblBorders>
              <w:tblLook w:val="0000" w:firstRow="0" w:lastRow="0" w:firstColumn="0" w:lastColumn="0" w:noHBand="0" w:noVBand="0"/>
            </w:tblPr>
            <w:tblGrid>
              <w:gridCol w:w="10759"/>
            </w:tblGrid>
            <w:tr w:rsidR="003E4476" w:rsidRPr="0031055B" w14:paraId="061F6D7A" w14:textId="77777777" w:rsidTr="00593B30">
              <w:trPr>
                <w:trHeight w:val="1324"/>
              </w:trPr>
              <w:tc>
                <w:tcPr>
                  <w:tcW w:w="0" w:type="auto"/>
                </w:tcPr>
                <w:p w14:paraId="4DC47DEB" w14:textId="492B41F5" w:rsidR="003E4476" w:rsidRPr="0031055B" w:rsidRDefault="003E4476" w:rsidP="008E2C03">
                  <w:pPr>
                    <w:rPr>
                      <w:rFonts w:ascii="Calibri" w:hAnsi="Calibri" w:cs="Calibri"/>
                    </w:rPr>
                  </w:pPr>
                  <w:r w:rsidRPr="0031055B">
                    <w:rPr>
                      <w:rFonts w:asciiTheme="minorHAnsi" w:hAnsiTheme="minorHAnsi" w:cs="Times New Roman"/>
                      <w:b/>
                      <w:bCs/>
                      <w:color w:val="auto"/>
                    </w:rPr>
                    <w:t>Note to Auditor:</w:t>
                  </w:r>
                  <w:r w:rsidRPr="0031055B">
                    <w:rPr>
                      <w:rFonts w:asciiTheme="minorHAnsi" w:hAnsiTheme="minorHAnsi" w:cs="Times New Roman"/>
                      <w:bCs/>
                      <w:color w:val="auto"/>
                    </w:rPr>
                    <w:t xml:space="preserve"> </w:t>
                  </w:r>
                  <w:r w:rsidRPr="0031055B">
                    <w:rPr>
                      <w:rFonts w:ascii="Calibri" w:hAnsi="Calibri" w:cs="Calibri"/>
                    </w:rPr>
                    <w:t>Requirement R</w:t>
                  </w:r>
                  <w:r>
                    <w:rPr>
                      <w:rFonts w:ascii="Calibri" w:hAnsi="Calibri" w:cs="Calibri"/>
                    </w:rPr>
                    <w:t>3</w:t>
                  </w:r>
                  <w:r w:rsidRPr="0031055B">
                    <w:rPr>
                      <w:rFonts w:ascii="Calibri" w:hAnsi="Calibri" w:cs="Calibri"/>
                    </w:rPr>
                    <w:t xml:space="preserve"> includes implementation of the </w:t>
                  </w:r>
                  <w:r>
                    <w:rPr>
                      <w:rFonts w:ascii="Calibri" w:hAnsi="Calibri" w:cs="Calibri"/>
                    </w:rPr>
                    <w:t>GMD</w:t>
                  </w:r>
                  <w:r w:rsidRPr="0031055B">
                    <w:rPr>
                      <w:rFonts w:ascii="Calibri" w:hAnsi="Calibri" w:cs="Calibri"/>
                    </w:rPr>
                    <w:t xml:space="preserve"> Operating P</w:t>
                  </w:r>
                  <w:r>
                    <w:rPr>
                      <w:rFonts w:ascii="Calibri" w:hAnsi="Calibri" w:cs="Calibri"/>
                    </w:rPr>
                    <w:t>rocedure or Operating Process</w:t>
                  </w:r>
                  <w:r w:rsidRPr="0031055B">
                    <w:rPr>
                      <w:rFonts w:ascii="Calibri" w:hAnsi="Calibri" w:cs="Calibri"/>
                    </w:rPr>
                    <w:t xml:space="preserve">. Auditors can gain reasonable assurance </w:t>
                  </w:r>
                  <w:r>
                    <w:rPr>
                      <w:rFonts w:ascii="Calibri" w:hAnsi="Calibri" w:cs="Calibri"/>
                    </w:rPr>
                    <w:t>of</w:t>
                  </w:r>
                  <w:r w:rsidRPr="0031055B">
                    <w:rPr>
                      <w:rFonts w:ascii="Calibri" w:hAnsi="Calibri" w:cs="Calibri"/>
                    </w:rPr>
                    <w:t xml:space="preserve"> implement</w:t>
                  </w:r>
                  <w:r>
                    <w:rPr>
                      <w:rFonts w:ascii="Calibri" w:hAnsi="Calibri" w:cs="Calibri"/>
                    </w:rPr>
                    <w:t>ation</w:t>
                  </w:r>
                  <w:r w:rsidRPr="0031055B">
                    <w:rPr>
                      <w:rFonts w:ascii="Calibri" w:hAnsi="Calibri" w:cs="Calibri"/>
                    </w:rPr>
                    <w:t xml:space="preserve"> by determining if specific actions prescribed by the </w:t>
                  </w:r>
                  <w:r>
                    <w:rPr>
                      <w:rFonts w:ascii="Calibri" w:hAnsi="Calibri" w:cs="Calibri"/>
                    </w:rPr>
                    <w:t xml:space="preserve">Operating Procedure or Operating Process </w:t>
                  </w:r>
                  <w:r w:rsidRPr="0031055B">
                    <w:rPr>
                      <w:rFonts w:ascii="Calibri" w:hAnsi="Calibri" w:cs="Calibri"/>
                    </w:rPr>
                    <w:t>have taken place. For example, if the p</w:t>
                  </w:r>
                  <w:r>
                    <w:rPr>
                      <w:rFonts w:ascii="Calibri" w:hAnsi="Calibri" w:cs="Calibri"/>
                    </w:rPr>
                    <w:t>rocedure</w:t>
                  </w:r>
                  <w:r w:rsidRPr="0031055B">
                    <w:rPr>
                      <w:rFonts w:ascii="Calibri" w:hAnsi="Calibri" w:cs="Calibri"/>
                    </w:rPr>
                    <w:t xml:space="preserve"> calls for </w:t>
                  </w:r>
                  <w:r>
                    <w:rPr>
                      <w:rFonts w:ascii="Calibri" w:hAnsi="Calibri" w:cs="Calibri"/>
                    </w:rPr>
                    <w:t>an operator to take an action</w:t>
                  </w:r>
                  <w:r w:rsidRPr="0031055B">
                    <w:rPr>
                      <w:rFonts w:ascii="Calibri" w:hAnsi="Calibri" w:cs="Calibri"/>
                    </w:rPr>
                    <w:t xml:space="preserve">, then auditors could ask for evidence demonstrating </w:t>
                  </w:r>
                  <w:r>
                    <w:rPr>
                      <w:rFonts w:ascii="Calibri" w:hAnsi="Calibri" w:cs="Calibri"/>
                    </w:rPr>
                    <w:t xml:space="preserve">that </w:t>
                  </w:r>
                  <w:r w:rsidRPr="0031055B">
                    <w:rPr>
                      <w:rFonts w:ascii="Calibri" w:hAnsi="Calibri" w:cs="Calibri"/>
                    </w:rPr>
                    <w:t xml:space="preserve">the </w:t>
                  </w:r>
                  <w:r>
                    <w:rPr>
                      <w:rFonts w:ascii="Calibri" w:hAnsi="Calibri" w:cs="Calibri"/>
                    </w:rPr>
                    <w:t>action</w:t>
                  </w:r>
                  <w:r w:rsidRPr="0031055B">
                    <w:rPr>
                      <w:rFonts w:ascii="Calibri" w:hAnsi="Calibri" w:cs="Calibri"/>
                    </w:rPr>
                    <w:t xml:space="preserve"> </w:t>
                  </w:r>
                  <w:r>
                    <w:rPr>
                      <w:rFonts w:ascii="Calibri" w:hAnsi="Calibri" w:cs="Calibri"/>
                    </w:rPr>
                    <w:t>occurred</w:t>
                  </w:r>
                  <w:r w:rsidR="00D10F61">
                    <w:rPr>
                      <w:rFonts w:ascii="Calibri" w:hAnsi="Calibri" w:cs="Calibri"/>
                    </w:rPr>
                    <w:t>, such as drills</w:t>
                  </w:r>
                  <w:r w:rsidRPr="0031055B">
                    <w:rPr>
                      <w:rFonts w:ascii="Calibri" w:hAnsi="Calibri" w:cs="Calibri"/>
                    </w:rPr>
                    <w:t xml:space="preserve">. Otherwise, </w:t>
                  </w:r>
                  <w:r>
                    <w:rPr>
                      <w:rFonts w:ascii="Calibri" w:hAnsi="Calibri" w:cs="Calibri"/>
                    </w:rPr>
                    <w:t xml:space="preserve">procedure </w:t>
                  </w:r>
                  <w:r w:rsidRPr="0031055B">
                    <w:rPr>
                      <w:rFonts w:ascii="Calibri" w:hAnsi="Calibri" w:cs="Calibri"/>
                    </w:rPr>
                    <w:t xml:space="preserve">availability, training records, operator knowledge, and/or a dry-run walk-through of the </w:t>
                  </w:r>
                  <w:r>
                    <w:rPr>
                      <w:rFonts w:ascii="Calibri" w:hAnsi="Calibri" w:cs="Calibri"/>
                    </w:rPr>
                    <w:t xml:space="preserve">procedure </w:t>
                  </w:r>
                  <w:r w:rsidRPr="0031055B">
                    <w:rPr>
                      <w:rFonts w:ascii="Calibri" w:hAnsi="Calibri" w:cs="Calibri"/>
                    </w:rPr>
                    <w:t xml:space="preserve">could provide assurance of implementation. </w:t>
                  </w:r>
                  <w:r w:rsidR="00013E13">
                    <w:rPr>
                      <w:rFonts w:ascii="Calibri" w:hAnsi="Calibri" w:cs="Calibri"/>
                    </w:rPr>
                    <w:t xml:space="preserve"> Requirement is not applicable if</w:t>
                  </w:r>
                  <w:r w:rsidR="00013E13">
                    <w:rPr>
                      <w:rFonts w:asciiTheme="minorHAnsi" w:hAnsiTheme="minorHAnsi" w:cs="Times New Roman"/>
                      <w:b/>
                      <w:bCs/>
                    </w:rPr>
                    <w:t xml:space="preserve"> </w:t>
                  </w:r>
                  <w:r w:rsidR="00013E13" w:rsidRPr="00D35B0E">
                    <w:rPr>
                      <w:rFonts w:asciiTheme="minorHAnsi" w:hAnsiTheme="minorHAnsi" w:cs="Times New Roman"/>
                      <w:bCs/>
                    </w:rPr>
                    <w:t>Transmission Operator Area does not include a power transformer with a high side wye-grounded winding with terminal voltage greater than 200 kV.</w:t>
                  </w:r>
                  <w:r w:rsidR="00013E13">
                    <w:rPr>
                      <w:rFonts w:asciiTheme="minorHAnsi" w:hAnsiTheme="minorHAnsi" w:cs="Times New Roman"/>
                      <w:b/>
                      <w:bCs/>
                    </w:rPr>
                    <w:t xml:space="preserve"> </w:t>
                  </w:r>
                </w:p>
              </w:tc>
            </w:tr>
          </w:tbl>
          <w:p w14:paraId="7EB79145" w14:textId="77777777" w:rsidR="003E4476" w:rsidRPr="006C43BC" w:rsidRDefault="003E4476" w:rsidP="00593B30">
            <w:pPr>
              <w:widowControl w:val="0"/>
              <w:tabs>
                <w:tab w:val="left" w:pos="0"/>
                <w:tab w:val="left" w:pos="801"/>
              </w:tabs>
              <w:rPr>
                <w:rFonts w:asciiTheme="minorHAnsi" w:hAnsiTheme="minorHAnsi" w:cs="Times New Roman"/>
                <w:bCs/>
                <w:color w:val="auto"/>
              </w:rPr>
            </w:pPr>
          </w:p>
        </w:tc>
      </w:tr>
    </w:tbl>
    <w:p w14:paraId="1E198C43" w14:textId="77777777" w:rsidR="003E4476" w:rsidRPr="006C43BC" w:rsidRDefault="003E4476" w:rsidP="00F04DA8">
      <w:pPr>
        <w:widowControl w:val="0"/>
        <w:tabs>
          <w:tab w:val="left" w:pos="0"/>
        </w:tabs>
        <w:rPr>
          <w:rFonts w:asciiTheme="minorHAnsi" w:hAnsiTheme="minorHAnsi" w:cs="Times New Roman"/>
          <w:b/>
          <w:bCs/>
        </w:rPr>
      </w:pPr>
    </w:p>
    <w:p w14:paraId="2FE071EE" w14:textId="77777777" w:rsidR="00E25FE9" w:rsidRPr="006C43BC" w:rsidRDefault="00E25FE9" w:rsidP="00E25FE9">
      <w:pPr>
        <w:pStyle w:val="RqtSection"/>
        <w:rPr>
          <w:color w:val="264D74"/>
        </w:rPr>
      </w:pPr>
      <w:r w:rsidRPr="006C43BC">
        <w:t>Auditor</w:t>
      </w:r>
      <w:r>
        <w:t xml:space="preserve"> </w:t>
      </w:r>
      <w:r w:rsidRPr="006C43BC">
        <w:t>Notes:</w:t>
      </w:r>
      <w:r w:rsidRPr="006C43BC">
        <w:rPr>
          <w:color w:val="264D74"/>
        </w:rPr>
        <w:t xml:space="preserve"> </w:t>
      </w:r>
    </w:p>
    <w:p w14:paraId="4694A410"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F66CA82"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573CF1E"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6DD8F56" w14:textId="77777777" w:rsidR="00E25FE9" w:rsidRDefault="00E25FE9" w:rsidP="00E25FE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D695D4E" w14:textId="77777777" w:rsidR="0048238D" w:rsidRDefault="0048238D" w:rsidP="0048238D">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64"/>
      <w:bookmarkEnd w:id="1"/>
      <w:r>
        <w:rPr>
          <w:rFonts w:asciiTheme="minorHAnsi" w:hAnsiTheme="minorHAnsi"/>
          <w:b/>
          <w:color w:val="auto"/>
          <w:szCs w:val="22"/>
          <w:u w:val="single"/>
        </w:rPr>
        <w:br w:type="page"/>
      </w:r>
    </w:p>
    <w:p w14:paraId="0073E048"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786FD9A8" w14:textId="77777777" w:rsidR="007E0126" w:rsidRPr="006C43BC" w:rsidRDefault="005D5112">
      <w:pPr>
        <w:autoSpaceDE/>
        <w:autoSpaceDN/>
        <w:adjustRightInd/>
        <w:rPr>
          <w:rFonts w:asciiTheme="minorHAnsi" w:hAnsiTheme="minorHAnsi"/>
        </w:rPr>
      </w:pPr>
      <w:r>
        <w:rPr>
          <w:rFonts w:asciiTheme="minorHAnsi" w:hAnsiTheme="minorHAnsi"/>
        </w:rPr>
        <w:object w:dxaOrig="2040" w:dyaOrig="1339" w14:anchorId="58B4C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8pt;height:65.1pt" o:ole="">
            <v:imagedata r:id="rId13" o:title=""/>
          </v:shape>
          <o:OLEObject Type="Embed" ProgID="Acrobat.Document.11" ShapeID="_x0000_i1027" DrawAspect="Icon" ObjectID="_1493015027" r:id="rId14"/>
        </w:object>
      </w:r>
      <w:r>
        <w:rPr>
          <w:rFonts w:asciiTheme="minorHAnsi" w:hAnsiTheme="minorHAnsi"/>
        </w:rPr>
        <w:object w:dxaOrig="1550" w:dyaOrig="991" w14:anchorId="5F350842">
          <v:shape id="_x0000_i1028" type="#_x0000_t75" style="width:79.5pt;height:50.1pt" o:ole="">
            <v:imagedata r:id="rId15" o:title=""/>
          </v:shape>
          <o:OLEObject Type="Embed" ProgID="Acrobat.Document.11" ShapeID="_x0000_i1028" DrawAspect="Icon" ObjectID="_1493015028" r:id="rId16"/>
        </w:object>
      </w:r>
    </w:p>
    <w:p w14:paraId="75FE0860" w14:textId="77777777" w:rsidR="00CC7E3E" w:rsidRPr="006C43BC" w:rsidRDefault="00CC7E3E" w:rsidP="00D97E2A">
      <w:pPr>
        <w:pStyle w:val="SubHead"/>
      </w:pPr>
      <w:bookmarkStart w:id="3" w:name="_Toc330463565"/>
      <w:r w:rsidRPr="006C43BC">
        <w:rPr>
          <w:rStyle w:val="SubtitleChar"/>
          <w:rFonts w:asciiTheme="minorHAnsi" w:hAnsiTheme="minorHAnsi" w:cs="Tahoma"/>
          <w:i w:val="0"/>
          <w:color w:val="auto"/>
        </w:rPr>
        <w:t>Reliability Standard</w:t>
      </w:r>
    </w:p>
    <w:p w14:paraId="55CEE6A3" w14:textId="77777777" w:rsidR="00567642" w:rsidRDefault="00567642" w:rsidP="00CC7E3E">
      <w:pPr>
        <w:rPr>
          <w:rFonts w:asciiTheme="minorHAnsi" w:hAnsiTheme="minorHAnsi"/>
        </w:rPr>
      </w:pPr>
    </w:p>
    <w:p w14:paraId="7D72DEDE"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3ADCDAD1" w14:textId="77777777" w:rsidR="007A379C" w:rsidRDefault="007A379C" w:rsidP="00CC7E3E">
      <w:pPr>
        <w:rPr>
          <w:rFonts w:asciiTheme="minorHAnsi" w:hAnsiTheme="minorHAnsi"/>
        </w:rPr>
      </w:pPr>
    </w:p>
    <w:p w14:paraId="45C35A9E"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72783F4E" w14:textId="77777777" w:rsidR="00ED6C9C" w:rsidRPr="006C43BC" w:rsidRDefault="00ED6C9C" w:rsidP="00CC7E3E">
      <w:pPr>
        <w:rPr>
          <w:rFonts w:asciiTheme="minorHAnsi" w:hAnsiTheme="minorHAnsi"/>
        </w:rPr>
      </w:pPr>
    </w:p>
    <w:p w14:paraId="0A21805C" w14:textId="3533174C" w:rsidR="00490283" w:rsidRDefault="00490283" w:rsidP="00D97E2A">
      <w:pPr>
        <w:pStyle w:val="SubHead"/>
      </w:pPr>
      <w:bookmarkStart w:id="4" w:name="_Toc323042589"/>
      <w:bookmarkStart w:id="5" w:name="_Toc330463566"/>
      <w:bookmarkEnd w:id="3"/>
      <w:r w:rsidRPr="006C43BC">
        <w:t>Sampling Methodology</w:t>
      </w:r>
      <w:bookmarkEnd w:id="4"/>
      <w:bookmarkEnd w:id="5"/>
    </w:p>
    <w:p w14:paraId="041187E5" w14:textId="77777777" w:rsidR="00647497" w:rsidRPr="006C43BC" w:rsidRDefault="00647497" w:rsidP="00D97E2A">
      <w:pPr>
        <w:pStyle w:val="SubHead"/>
        <w:rPr>
          <w:i/>
        </w:rPr>
      </w:pPr>
    </w:p>
    <w:p w14:paraId="424607FD" w14:textId="77777777" w:rsidR="00490283" w:rsidRPr="00641911"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r w:rsidR="00641911">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13AD4217" w14:textId="77777777" w:rsidR="00D97E2A" w:rsidRDefault="00D97E2A">
      <w:pPr>
        <w:autoSpaceDE/>
        <w:autoSpaceDN/>
        <w:adjustRightInd/>
        <w:rPr>
          <w:rFonts w:asciiTheme="minorHAnsi" w:eastAsiaTheme="majorEastAsia" w:hAnsiTheme="minorHAnsi" w:cs="Tahoma"/>
          <w:b/>
          <w:color w:val="auto"/>
          <w:spacing w:val="15"/>
          <w:u w:val="single"/>
        </w:rPr>
      </w:pPr>
    </w:p>
    <w:p w14:paraId="78CD2346" w14:textId="7F143D33" w:rsidR="00CC7E3E" w:rsidRDefault="00CC7E3E" w:rsidP="00CC440E">
      <w:pPr>
        <w:pStyle w:val="SubHead"/>
      </w:pPr>
      <w:r w:rsidRPr="006C43BC">
        <w:t>Regulatory Language</w:t>
      </w:r>
    </w:p>
    <w:p w14:paraId="467CCABC" w14:textId="77777777" w:rsidR="00732C1D" w:rsidRDefault="00732C1D" w:rsidP="00CC440E">
      <w:pPr>
        <w:pStyle w:val="SubHead"/>
      </w:pPr>
    </w:p>
    <w:p w14:paraId="3C7A55DB" w14:textId="7A092ACE" w:rsidR="00732C1D" w:rsidRDefault="00732C1D" w:rsidP="00CC440E">
      <w:pPr>
        <w:pStyle w:val="SubHead"/>
        <w:rPr>
          <w:u w:val="none"/>
        </w:rPr>
      </w:pPr>
      <w:r w:rsidRPr="00732C1D">
        <w:rPr>
          <w:u w:val="none"/>
        </w:rPr>
        <w:t>Regulatory Background</w:t>
      </w:r>
    </w:p>
    <w:p w14:paraId="4CBC223D" w14:textId="77777777" w:rsidR="00732C1D" w:rsidRDefault="00732C1D" w:rsidP="00CC440E">
      <w:pPr>
        <w:pStyle w:val="SubHead"/>
        <w:rPr>
          <w:u w:val="none"/>
        </w:rPr>
      </w:pPr>
    </w:p>
    <w:p w14:paraId="687A4C4F" w14:textId="1ADE88B6" w:rsidR="00732C1D" w:rsidRPr="00732C1D" w:rsidRDefault="00732C1D" w:rsidP="00CC440E">
      <w:pPr>
        <w:pStyle w:val="SubHead"/>
        <w:rPr>
          <w:rFonts w:cs="Arial"/>
          <w:b w:val="0"/>
          <w:i/>
          <w:u w:val="none"/>
        </w:rPr>
      </w:pPr>
      <w:r w:rsidRPr="00732C1D">
        <w:rPr>
          <w:b w:val="0"/>
          <w:u w:val="none"/>
        </w:rPr>
        <w:t xml:space="preserve">In </w:t>
      </w:r>
      <w:hyperlink r:id="rId17" w:history="1">
        <w:r w:rsidR="00E5796F">
          <w:rPr>
            <w:rStyle w:val="Hyperlink"/>
            <w:b w:val="0"/>
          </w:rPr>
          <w:t>Order N</w:t>
        </w:r>
        <w:r w:rsidRPr="00E5796F">
          <w:rPr>
            <w:rStyle w:val="Hyperlink"/>
            <w:b w:val="0"/>
          </w:rPr>
          <w:t>o. 779</w:t>
        </w:r>
      </w:hyperlink>
      <w:r>
        <w:rPr>
          <w:b w:val="0"/>
          <w:u w:val="none"/>
        </w:rPr>
        <w:t>, FERC directed NERC to develop Reliability Standards that address the impact of geomagnetic disturbances (GMD) on the reliable operation of the Bulk-Power System.</w:t>
      </w:r>
      <w:r w:rsidR="00E5796F">
        <w:rPr>
          <w:rStyle w:val="FootnoteReference"/>
          <w:b w:val="0"/>
          <w:u w:val="none"/>
        </w:rPr>
        <w:footnoteReference w:id="5"/>
      </w:r>
      <w:r>
        <w:rPr>
          <w:b w:val="0"/>
          <w:u w:val="none"/>
        </w:rPr>
        <w:t xml:space="preserve">  FERC directed that the development of the Reliability Standards be accomplished in two stages, the first submission of a Reliability Standard within six months of the effective date of the order and a second submission within </w:t>
      </w:r>
      <w:r w:rsidR="00E5796F">
        <w:rPr>
          <w:b w:val="0"/>
          <w:u w:val="none"/>
        </w:rPr>
        <w:t>eighteen months of the effective date of the order.</w:t>
      </w:r>
    </w:p>
    <w:p w14:paraId="70CF3A19" w14:textId="77777777" w:rsidR="00FD4903" w:rsidRPr="006C43BC" w:rsidRDefault="00FD4903" w:rsidP="00CC7E3E">
      <w:pPr>
        <w:rPr>
          <w:rFonts w:asciiTheme="minorHAnsi" w:hAnsiTheme="minorHAnsi"/>
        </w:rPr>
      </w:pPr>
    </w:p>
    <w:p w14:paraId="58F4D315" w14:textId="5F525E1A" w:rsidR="00900AF8" w:rsidRDefault="00E5796F" w:rsidP="00CC7E3E">
      <w:pPr>
        <w:rPr>
          <w:rFonts w:asciiTheme="minorHAnsi" w:hAnsiTheme="minorHAnsi"/>
        </w:rPr>
      </w:pPr>
      <w:r>
        <w:rPr>
          <w:rFonts w:asciiTheme="minorHAnsi" w:hAnsiTheme="minorHAnsi"/>
        </w:rPr>
        <w:t>On November 14</w:t>
      </w:r>
      <w:r w:rsidRPr="00E5796F">
        <w:rPr>
          <w:rFonts w:asciiTheme="minorHAnsi" w:hAnsiTheme="minorHAnsi"/>
        </w:rPr>
        <w:t xml:space="preserve">, 2013, NERC petitioned </w:t>
      </w:r>
      <w:r>
        <w:rPr>
          <w:rFonts w:asciiTheme="minorHAnsi" w:hAnsiTheme="minorHAnsi"/>
        </w:rPr>
        <w:t xml:space="preserve">FERC to approve Reliability Standard EOP-010-1.  In </w:t>
      </w:r>
      <w:hyperlink r:id="rId18" w:history="1">
        <w:r w:rsidRPr="00352B80">
          <w:rPr>
            <w:rStyle w:val="Hyperlink"/>
            <w:rFonts w:asciiTheme="minorHAnsi" w:hAnsiTheme="minorHAnsi"/>
          </w:rPr>
          <w:t>Order No. 797</w:t>
        </w:r>
      </w:hyperlink>
      <w:r>
        <w:rPr>
          <w:rFonts w:asciiTheme="minorHAnsi" w:hAnsiTheme="minorHAnsi"/>
        </w:rPr>
        <w:t xml:space="preserve">, FERC approved </w:t>
      </w:r>
      <w:r w:rsidR="00FE2018">
        <w:rPr>
          <w:rFonts w:asciiTheme="minorHAnsi" w:hAnsiTheme="minorHAnsi"/>
        </w:rPr>
        <w:t>Reliability Standard EOP-010-1 on June 19, 2014.</w:t>
      </w:r>
      <w:r w:rsidR="00352B80">
        <w:rPr>
          <w:rStyle w:val="FootnoteReference"/>
          <w:rFonts w:asciiTheme="minorHAnsi" w:hAnsiTheme="minorHAnsi"/>
        </w:rPr>
        <w:footnoteReference w:id="6"/>
      </w:r>
      <w:r w:rsidR="00FE2018">
        <w:rPr>
          <w:rFonts w:asciiTheme="minorHAnsi" w:hAnsiTheme="minorHAnsi"/>
        </w:rPr>
        <w:t xml:space="preserve">  Reliability Standard EOP-010-1 addresses the first part of the FERC directive by mitigating the effects of GMD</w:t>
      </w:r>
      <w:r w:rsidR="00352B80">
        <w:rPr>
          <w:rFonts w:asciiTheme="minorHAnsi" w:hAnsiTheme="minorHAnsi"/>
        </w:rPr>
        <w:t xml:space="preserve"> on the Bulk-Power system by requiring responsible entities to implement Operating Plans and Operating Procedures or Processes.</w:t>
      </w:r>
    </w:p>
    <w:p w14:paraId="638C979D" w14:textId="77777777" w:rsidR="00352B80" w:rsidRDefault="00352B80" w:rsidP="00CC7E3E">
      <w:pPr>
        <w:rPr>
          <w:rFonts w:asciiTheme="minorHAnsi" w:hAnsiTheme="minorHAnsi"/>
        </w:rPr>
      </w:pPr>
    </w:p>
    <w:p w14:paraId="7F822401" w14:textId="65789259" w:rsidR="00352B80" w:rsidRPr="00DD6612" w:rsidRDefault="00DD6612" w:rsidP="00CC7E3E">
      <w:pPr>
        <w:rPr>
          <w:rFonts w:asciiTheme="minorHAnsi" w:hAnsiTheme="minorHAnsi"/>
          <w:b/>
        </w:rPr>
      </w:pPr>
      <w:r w:rsidRPr="00DD6612">
        <w:rPr>
          <w:rFonts w:asciiTheme="minorHAnsi" w:hAnsiTheme="minorHAnsi"/>
          <w:b/>
        </w:rPr>
        <w:t>Order No. 797</w:t>
      </w:r>
    </w:p>
    <w:p w14:paraId="0E22BB50" w14:textId="77777777" w:rsidR="00DD6612" w:rsidRDefault="00DD6612" w:rsidP="00CC7E3E">
      <w:pPr>
        <w:rPr>
          <w:rFonts w:asciiTheme="minorHAnsi" w:hAnsiTheme="minorHAnsi"/>
        </w:rPr>
      </w:pPr>
    </w:p>
    <w:p w14:paraId="56E0B4FF" w14:textId="3F4FB5CF" w:rsidR="00DD6612" w:rsidRDefault="00DD6612" w:rsidP="00DD6612">
      <w:pPr>
        <w:pStyle w:val="Default"/>
        <w:ind w:left="990" w:hanging="990"/>
        <w:rPr>
          <w:rFonts w:ascii="Times New Roman" w:hAnsi="Times New Roman"/>
          <w:sz w:val="26"/>
          <w:szCs w:val="26"/>
        </w:rPr>
      </w:pPr>
      <w:r>
        <w:t>P1</w:t>
      </w:r>
      <w:r>
        <w:tab/>
      </w:r>
      <w:r>
        <w:tab/>
      </w:r>
      <w:r w:rsidRPr="00DD6612">
        <w:t>Pursuant to section 215 of the Federal Power Act (FPA),</w:t>
      </w:r>
      <w:r w:rsidRPr="00DD6612">
        <w:rPr>
          <w:b/>
          <w:bCs/>
          <w:position w:val="8"/>
          <w:vertAlign w:val="superscript"/>
        </w:rPr>
        <w:t xml:space="preserve"> </w:t>
      </w:r>
      <w:r w:rsidRPr="00DD6612">
        <w:t>the Commission approve</w:t>
      </w:r>
      <w:r w:rsidR="00D10F61">
        <w:t>d</w:t>
      </w:r>
      <w:r w:rsidRPr="00DD6612">
        <w:t xml:space="preserve"> Reliability Standard EOP-010-1 (Geomagnetic Disturbance Operations). NERC</w:t>
      </w:r>
      <w:r w:rsidR="00D10F61">
        <w:t xml:space="preserve"> </w:t>
      </w:r>
      <w:r w:rsidRPr="00DD6612">
        <w:t>submitted the Reliability Standard for Commission approval in response to a Commission directive in Order No. 779.</w:t>
      </w:r>
      <w:r>
        <w:t xml:space="preserve"> </w:t>
      </w:r>
      <w:r w:rsidRPr="00DD6612">
        <w:rPr>
          <w:b/>
          <w:bCs/>
          <w:position w:val="8"/>
          <w:vertAlign w:val="superscript"/>
        </w:rPr>
        <w:t xml:space="preserve"> </w:t>
      </w:r>
      <w:r w:rsidRPr="00DD6612">
        <w:t xml:space="preserve">The Reliability Standard is designed to mitigate the effects of GMD on the Bulk-Power System by </w:t>
      </w:r>
      <w:r w:rsidRPr="00DD6612">
        <w:lastRenderedPageBreak/>
        <w:t>requiring responsible entities to implement Operating Plans and Operating Procedures or Processes. The Commission also approves the associated violation risk factors and violation severity levels, implementation plan, and effective dates proposed by NERC.</w:t>
      </w:r>
      <w:r w:rsidRPr="00DD6612">
        <w:rPr>
          <w:rFonts w:ascii="Times New Roman" w:hAnsi="Times New Roman"/>
          <w:sz w:val="26"/>
          <w:szCs w:val="26"/>
        </w:rPr>
        <w:t xml:space="preserve"> </w:t>
      </w:r>
      <w:r w:rsidR="00D10F61">
        <w:rPr>
          <w:rFonts w:ascii="Times New Roman" w:hAnsi="Times New Roman"/>
          <w:sz w:val="26"/>
          <w:szCs w:val="26"/>
        </w:rPr>
        <w:br/>
      </w:r>
    </w:p>
    <w:p w14:paraId="668A2A38" w14:textId="600254E3" w:rsidR="00D10F61" w:rsidRDefault="00D10F61" w:rsidP="00DD6612">
      <w:pPr>
        <w:pStyle w:val="Default"/>
        <w:ind w:left="990" w:hanging="990"/>
      </w:pPr>
      <w:r w:rsidRPr="00D10F61">
        <w:t>P15</w:t>
      </w:r>
      <w:r>
        <w:tab/>
        <w:t>The Commission determined that “the Reliability Standard requires coordination of operational procedures and processes, overseen by a functional entity with a wide-area perspective</w:t>
      </w:r>
      <w:r w:rsidR="00427E7A">
        <w:t xml:space="preserve"> (i.e., reliability coordinators), which is also consistent with the guidance in Order No. 779.”</w:t>
      </w:r>
      <w:r w:rsidR="00427E7A">
        <w:br/>
      </w:r>
    </w:p>
    <w:p w14:paraId="547F7350" w14:textId="7CD3CE9E" w:rsidR="00427E7A" w:rsidRDefault="00427E7A" w:rsidP="00DD6612">
      <w:pPr>
        <w:pStyle w:val="Default"/>
        <w:ind w:left="990" w:hanging="990"/>
      </w:pPr>
      <w:r>
        <w:t>P26</w:t>
      </w:r>
      <w:r>
        <w:tab/>
      </w:r>
      <w:r w:rsidRPr="006E5282">
        <w:t xml:space="preserve">The applicability criteria for Reliability Standard EOP-010-1 determine which transmission operators must comply with the Reliability Standard (i.e., those with a power transformer with a high side wye-grounded winding with terminal voltage greater than 200 kV in the transmission operator area). While this criterion excludes transmission operators operating transformers 200 kV and below, the 200 kV threshold does not mean that applicable transmission operators will ignore reactive power supplies operating at 200 kV or below on their systems when developing the required GMD Operating Procedures or Operating Processes. Reliability Standard EOP-010-1, Requirement R3 supports this conclusion because it directs each applicable transmission operator to “develop, maintain, and implement a GMD Operating Procedure or Operating </w:t>
      </w:r>
      <w:r w:rsidRPr="002D6673">
        <w:t xml:space="preserve">Process to mitigate the effects of GMD events on the reliable operation of its respective system.” </w:t>
      </w:r>
      <w:r>
        <w:t xml:space="preserve"> </w:t>
      </w:r>
      <w:r w:rsidRPr="002D6673">
        <w:t>Accordingly, because Requirement R3 addresses an applicable transmission operator’s entire system, the requirement is not limited to transformers operating above 200 kV for the purposes of developing GMD Operating Procedures or Operating Processes by applicable transmission operators.</w:t>
      </w:r>
      <w:r>
        <w:br/>
      </w:r>
    </w:p>
    <w:p w14:paraId="64AA7583" w14:textId="3FF09C13" w:rsidR="00427E7A" w:rsidRPr="00D10F61" w:rsidRDefault="00427E7A" w:rsidP="00DD6612">
      <w:pPr>
        <w:pStyle w:val="Default"/>
        <w:ind w:left="990" w:hanging="990"/>
      </w:pPr>
      <w:r>
        <w:t>P35</w:t>
      </w:r>
      <w:r>
        <w:tab/>
        <w:t>Re</w:t>
      </w:r>
      <w:r w:rsidRPr="002D6673">
        <w:t>liability Standard EOP-010-1 does not mandate the use of space weather to trigger the GMD operational procedures.</w:t>
      </w:r>
    </w:p>
    <w:p w14:paraId="5D935991" w14:textId="17AB036C" w:rsidR="00DD6612" w:rsidRPr="00E5796F" w:rsidRDefault="00DD6612" w:rsidP="00DD6612">
      <w:pPr>
        <w:ind w:left="990" w:hanging="990"/>
        <w:rPr>
          <w:rFonts w:asciiTheme="minorHAnsi" w:hAnsiTheme="minorHAnsi"/>
        </w:rPr>
      </w:pPr>
    </w:p>
    <w:p w14:paraId="1E2D3A00" w14:textId="77777777" w:rsidR="0048238D" w:rsidRDefault="0048238D" w:rsidP="0048238D">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1A886EB6" w14:textId="77777777" w:rsidR="00D54CB4" w:rsidRPr="00840537" w:rsidRDefault="00D54CB4" w:rsidP="00CC440E">
      <w:pPr>
        <w:pStyle w:val="SubHead"/>
      </w:pPr>
      <w:r w:rsidRPr="00840537">
        <w:lastRenderedPageBreak/>
        <w:t>Revision History</w:t>
      </w:r>
      <w:r w:rsidR="00CF0C11">
        <w:t xml:space="preserve"> for RSAW</w:t>
      </w:r>
    </w:p>
    <w:p w14:paraId="7F0C0EFC"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335836BA" w14:textId="77777777" w:rsidTr="003062CC">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0CA7D5B5" w14:textId="77777777" w:rsidR="002A01BD" w:rsidRPr="009B28B0" w:rsidRDefault="002A01BD" w:rsidP="003062CC">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1DBE337C" w14:textId="77777777" w:rsidR="002A01BD" w:rsidRPr="009B28B0" w:rsidRDefault="002A01BD" w:rsidP="003062CC">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24C9CE67" w14:textId="77777777" w:rsidR="002A01BD" w:rsidRPr="009B28B0" w:rsidRDefault="002A01BD" w:rsidP="003062CC">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CFFFB4A" w14:textId="77777777" w:rsidR="002A01BD" w:rsidRPr="009B28B0" w:rsidRDefault="002A01BD" w:rsidP="003062CC">
            <w:pPr>
              <w:jc w:val="center"/>
              <w:rPr>
                <w:rFonts w:ascii="Calibri" w:hAnsi="Calibri" w:cs="Times New Roman"/>
                <w:b/>
              </w:rPr>
            </w:pPr>
            <w:r w:rsidRPr="009B28B0">
              <w:rPr>
                <w:rFonts w:ascii="Calibri" w:hAnsi="Calibri" w:cs="Times New Roman"/>
                <w:b/>
              </w:rPr>
              <w:t>Revision Description</w:t>
            </w:r>
          </w:p>
        </w:tc>
      </w:tr>
      <w:tr w:rsidR="002A01BD" w:rsidRPr="009B28B0" w14:paraId="05DF1A4B" w14:textId="77777777" w:rsidTr="003062CC">
        <w:tc>
          <w:tcPr>
            <w:tcW w:w="1016" w:type="dxa"/>
            <w:tcBorders>
              <w:top w:val="single" w:sz="4" w:space="0" w:color="000000"/>
              <w:left w:val="single" w:sz="4" w:space="0" w:color="000000"/>
              <w:bottom w:val="single" w:sz="4" w:space="0" w:color="000000"/>
              <w:right w:val="single" w:sz="4" w:space="0" w:color="000000"/>
            </w:tcBorders>
            <w:vAlign w:val="center"/>
          </w:tcPr>
          <w:p w14:paraId="5A384653"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3BEEC64E" w14:textId="552A4778" w:rsidR="002A01BD" w:rsidRPr="009B28B0" w:rsidRDefault="0048238D" w:rsidP="00CF0C11">
            <w:pPr>
              <w:jc w:val="center"/>
              <w:rPr>
                <w:rFonts w:ascii="Calibri" w:hAnsi="Calibri" w:cs="Times New Roman"/>
              </w:rPr>
            </w:pPr>
            <w:r>
              <w:rPr>
                <w:rFonts w:ascii="Calibri" w:hAnsi="Calibri" w:cs="Times New Roman"/>
              </w:rPr>
              <w:t>12/16/2014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523A643E" w14:textId="7466DAA8" w:rsidR="002A01BD" w:rsidRPr="009B28B0" w:rsidRDefault="0048238D" w:rsidP="003062CC">
            <w:pPr>
              <w:rPr>
                <w:rFonts w:ascii="Calibri" w:hAnsi="Calibri" w:cs="Times New Roman"/>
              </w:rPr>
            </w:pPr>
            <w:r>
              <w:rPr>
                <w:rFonts w:ascii="Calibri" w:hAnsi="Calibri" w:cs="Times New Roman"/>
              </w:rPr>
              <w:t>RSAW</w:t>
            </w:r>
            <w:r w:rsidR="00E73E4E">
              <w:rPr>
                <w:rFonts w:ascii="Calibri" w:hAnsi="Calibri" w:cs="Times New Roman"/>
              </w:rPr>
              <w:t xml:space="preserve"> Task Force, NERC Compliance, CMFG, ECEMG</w:t>
            </w:r>
          </w:p>
        </w:tc>
        <w:tc>
          <w:tcPr>
            <w:tcW w:w="5040" w:type="dxa"/>
            <w:tcBorders>
              <w:top w:val="single" w:sz="4" w:space="0" w:color="000000"/>
              <w:left w:val="single" w:sz="4" w:space="0" w:color="000000"/>
              <w:bottom w:val="single" w:sz="4" w:space="0" w:color="000000"/>
              <w:right w:val="single" w:sz="4" w:space="0" w:color="000000"/>
            </w:tcBorders>
          </w:tcPr>
          <w:p w14:paraId="25248A6C" w14:textId="77777777" w:rsidR="002A01BD" w:rsidRPr="009B28B0" w:rsidRDefault="00CF0C11" w:rsidP="003062CC">
            <w:pPr>
              <w:rPr>
                <w:rFonts w:ascii="Calibri" w:hAnsi="Calibri" w:cs="Times New Roman"/>
              </w:rPr>
            </w:pPr>
            <w:r>
              <w:rPr>
                <w:rFonts w:ascii="Calibri" w:hAnsi="Calibri" w:cs="Times New Roman"/>
              </w:rPr>
              <w:t>New Document</w:t>
            </w:r>
          </w:p>
        </w:tc>
      </w:tr>
      <w:tr w:rsidR="002A01BD" w:rsidRPr="009B28B0" w14:paraId="71083E8D" w14:textId="77777777" w:rsidTr="003062CC">
        <w:tc>
          <w:tcPr>
            <w:tcW w:w="1016" w:type="dxa"/>
            <w:tcBorders>
              <w:top w:val="single" w:sz="4" w:space="0" w:color="000000"/>
              <w:left w:val="single" w:sz="4" w:space="0" w:color="000000"/>
              <w:bottom w:val="single" w:sz="4" w:space="0" w:color="000000"/>
              <w:right w:val="single" w:sz="4" w:space="0" w:color="000000"/>
            </w:tcBorders>
          </w:tcPr>
          <w:p w14:paraId="5B00668B" w14:textId="30FE857A" w:rsidR="002A01BD" w:rsidRPr="009B28B0" w:rsidRDefault="00D35B0E"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396ABE49" w14:textId="49739122" w:rsidR="002A01BD" w:rsidRPr="009B28B0" w:rsidRDefault="00144BC6" w:rsidP="00CF0C11">
            <w:pPr>
              <w:jc w:val="center"/>
              <w:rPr>
                <w:rFonts w:ascii="Calibri" w:hAnsi="Calibri" w:cs="Times New Roman"/>
              </w:rPr>
            </w:pPr>
            <w:r>
              <w:rPr>
                <w:rFonts w:ascii="Calibri" w:hAnsi="Calibri" w:cs="Times New Roman"/>
              </w:rPr>
              <w:t>5/13/2015</w:t>
            </w:r>
          </w:p>
        </w:tc>
        <w:tc>
          <w:tcPr>
            <w:tcW w:w="2520" w:type="dxa"/>
            <w:tcBorders>
              <w:top w:val="single" w:sz="4" w:space="0" w:color="000000"/>
              <w:left w:val="single" w:sz="4" w:space="0" w:color="000000"/>
              <w:bottom w:val="single" w:sz="4" w:space="0" w:color="000000"/>
              <w:right w:val="single" w:sz="4" w:space="0" w:color="000000"/>
            </w:tcBorders>
          </w:tcPr>
          <w:p w14:paraId="4F12BD8D" w14:textId="35F7FCD7" w:rsidR="002A01BD" w:rsidRPr="009B28B0" w:rsidRDefault="00D35B0E" w:rsidP="003062CC">
            <w:pPr>
              <w:rPr>
                <w:rFonts w:ascii="Calibri" w:hAnsi="Calibri" w:cs="Times New Roman"/>
              </w:rPr>
            </w:pPr>
            <w:r>
              <w:rPr>
                <w:rFonts w:ascii="Calibri" w:hAnsi="Calibri" w:cs="Times New Roman"/>
              </w:rPr>
              <w:t>RSAW Task Force</w:t>
            </w:r>
            <w:r w:rsidR="0014441A">
              <w:rPr>
                <w:rFonts w:ascii="Calibri" w:hAnsi="Calibri" w:cs="Times New Roman"/>
              </w:rPr>
              <w:t>, CMFG, ECEMG</w:t>
            </w:r>
          </w:p>
        </w:tc>
        <w:tc>
          <w:tcPr>
            <w:tcW w:w="5040" w:type="dxa"/>
            <w:tcBorders>
              <w:top w:val="single" w:sz="4" w:space="0" w:color="000000"/>
              <w:left w:val="single" w:sz="4" w:space="0" w:color="000000"/>
              <w:bottom w:val="single" w:sz="4" w:space="0" w:color="000000"/>
              <w:right w:val="single" w:sz="4" w:space="0" w:color="000000"/>
            </w:tcBorders>
          </w:tcPr>
          <w:p w14:paraId="1CFEAB8F" w14:textId="68B21244" w:rsidR="002A01BD" w:rsidRPr="009B28B0" w:rsidRDefault="00144BC6" w:rsidP="003062CC">
            <w:pPr>
              <w:rPr>
                <w:rFonts w:ascii="Calibri" w:hAnsi="Calibri" w:cs="Times New Roman"/>
              </w:rPr>
            </w:pPr>
            <w:r>
              <w:rPr>
                <w:rFonts w:ascii="Calibri" w:hAnsi="Calibri" w:cs="Times New Roman"/>
              </w:rPr>
              <w:t>Edits to R1, a</w:t>
            </w:r>
            <w:r w:rsidR="0014441A">
              <w:rPr>
                <w:rFonts w:ascii="Calibri" w:hAnsi="Calibri" w:cs="Times New Roman"/>
              </w:rPr>
              <w:t>dded question and Note to A</w:t>
            </w:r>
            <w:bookmarkStart w:id="6" w:name="_GoBack"/>
            <w:bookmarkEnd w:id="6"/>
            <w:r w:rsidR="00D35B0E">
              <w:rPr>
                <w:rFonts w:ascii="Calibri" w:hAnsi="Calibri" w:cs="Times New Roman"/>
              </w:rPr>
              <w:t>uditor in R3 concerning TOP applicability.</w:t>
            </w:r>
          </w:p>
        </w:tc>
      </w:tr>
      <w:tr w:rsidR="002A01BD" w:rsidRPr="009B28B0" w14:paraId="79B56D74" w14:textId="77777777" w:rsidTr="003062CC">
        <w:tc>
          <w:tcPr>
            <w:tcW w:w="1016" w:type="dxa"/>
            <w:tcBorders>
              <w:top w:val="single" w:sz="4" w:space="0" w:color="000000"/>
              <w:left w:val="single" w:sz="4" w:space="0" w:color="000000"/>
              <w:bottom w:val="single" w:sz="4" w:space="0" w:color="000000"/>
              <w:right w:val="single" w:sz="4" w:space="0" w:color="000000"/>
            </w:tcBorders>
          </w:tcPr>
          <w:p w14:paraId="64548A80"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1A524444"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6111B087" w14:textId="77777777" w:rsidR="002A01BD" w:rsidRPr="009B28B0" w:rsidRDefault="002A01BD" w:rsidP="003062CC">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7EAE2459" w14:textId="77777777" w:rsidR="002A01BD" w:rsidRPr="009B28B0" w:rsidRDefault="002A01BD" w:rsidP="003062CC">
            <w:pPr>
              <w:rPr>
                <w:rFonts w:ascii="Calibri" w:hAnsi="Calibri" w:cs="Times New Roman"/>
              </w:rPr>
            </w:pPr>
          </w:p>
        </w:tc>
      </w:tr>
    </w:tbl>
    <w:p w14:paraId="4034F68C" w14:textId="77777777" w:rsidR="00CF0C11" w:rsidRDefault="00CF0C11" w:rsidP="00CF0C11">
      <w:pPr>
        <w:pStyle w:val="SubHead"/>
      </w:pPr>
    </w:p>
    <w:sectPr w:rsidR="00CF0C11" w:rsidSect="00F019DB">
      <w:headerReference w:type="default" r:id="rId19"/>
      <w:footerReference w:type="default" r:id="rId2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EF50A" w14:textId="77777777" w:rsidR="00332FA3" w:rsidRDefault="00332FA3">
      <w:r>
        <w:separator/>
      </w:r>
    </w:p>
  </w:endnote>
  <w:endnote w:type="continuationSeparator" w:id="0">
    <w:p w14:paraId="34D59E55" w14:textId="77777777" w:rsidR="00332FA3" w:rsidRDefault="00332FA3">
      <w:r>
        <w:continuationSeparator/>
      </w:r>
    </w:p>
  </w:endnote>
  <w:endnote w:type="continuationNotice" w:id="1">
    <w:p w14:paraId="503FB13C" w14:textId="77777777" w:rsidR="00332FA3" w:rsidRDefault="00332FA3"/>
  </w:endnote>
  <w:endnote w:id="2">
    <w:p w14:paraId="31CCDBC8" w14:textId="77777777" w:rsidR="00AD35D8" w:rsidRPr="00C600C1" w:rsidRDefault="00AD35D8" w:rsidP="00CF23FB">
      <w:pPr>
        <w:pStyle w:val="EndnoteText"/>
        <w:rPr>
          <w:rFonts w:asciiTheme="minorHAnsi" w:hAnsiTheme="minorHAnsi"/>
        </w:rPr>
      </w:pPr>
      <w:r w:rsidRPr="00C600C1">
        <w:rPr>
          <w:rStyle w:val="EndnoteReference"/>
          <w:rFonts w:asciiTheme="minorHAnsi" w:hAnsiTheme="minorHAnsi"/>
        </w:rPr>
        <w:endnoteRef/>
      </w:r>
      <w:r w:rsidRPr="00C600C1">
        <w:rPr>
          <w:rFonts w:asciiTheme="minorHAnsi" w:hAnsiTheme="minorHAnsi"/>
        </w:rPr>
        <w:t xml:space="preserve"> </w:t>
      </w:r>
      <w:r w:rsidRPr="00C600C1">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A9F5" w14:textId="2227ACBB" w:rsidR="00AD35D8" w:rsidRPr="001D34F6" w:rsidRDefault="00AD35D8"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6FBFD878" w14:textId="77777777" w:rsidR="00AD35D8" w:rsidRPr="001D34F6" w:rsidRDefault="00AD35D8"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2DE063D6" w14:textId="37A68E0B" w:rsidR="00AD35D8" w:rsidRPr="008C17EB" w:rsidRDefault="00AD35D8"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EOP-01</w:t>
    </w:r>
    <w:r w:rsidR="00652EF8">
      <w:rPr>
        <w:rFonts w:asciiTheme="minorHAnsi" w:hAnsiTheme="minorHAnsi"/>
        <w:color w:val="0070C0"/>
        <w:sz w:val="18"/>
        <w:szCs w:val="22"/>
      </w:rPr>
      <w:t>0</w:t>
    </w:r>
    <w:r w:rsidR="00144BC6">
      <w:rPr>
        <w:rFonts w:asciiTheme="minorHAnsi" w:hAnsiTheme="minorHAnsi"/>
        <w:color w:val="0070C0"/>
        <w:sz w:val="18"/>
        <w:szCs w:val="22"/>
      </w:rPr>
      <w:t>-1_2015</w:t>
    </w:r>
    <w:r w:rsidRPr="00F019DB">
      <w:rPr>
        <w:rFonts w:asciiTheme="minorHAnsi" w:hAnsiTheme="minorHAnsi"/>
        <w:color w:val="0070C0"/>
        <w:sz w:val="18"/>
        <w:szCs w:val="22"/>
      </w:rPr>
      <w:t>_v</w:t>
    </w:r>
    <w:r w:rsidR="00144BC6">
      <w:rPr>
        <w:rFonts w:asciiTheme="minorHAnsi" w:hAnsiTheme="minorHAnsi"/>
        <w:color w:val="0070C0"/>
        <w:sz w:val="18"/>
        <w:szCs w:val="22"/>
      </w:rPr>
      <w:t>2</w:t>
    </w:r>
    <w:r>
      <w:rPr>
        <w:rFonts w:asciiTheme="minorHAnsi" w:hAnsiTheme="minorHAnsi"/>
        <w:sz w:val="18"/>
        <w:szCs w:val="18"/>
      </w:rPr>
      <w:t xml:space="preserve"> </w:t>
    </w:r>
    <w:r>
      <w:rPr>
        <w:rFonts w:asciiTheme="minorHAnsi" w:hAnsiTheme="minorHAnsi"/>
        <w:color w:val="auto"/>
        <w:sz w:val="18"/>
        <w:szCs w:val="22"/>
      </w:rPr>
      <w:t xml:space="preserve">Revision Date: </w:t>
    </w:r>
    <w:r w:rsidR="00144BC6">
      <w:rPr>
        <w:rFonts w:asciiTheme="minorHAnsi" w:hAnsiTheme="minorHAnsi"/>
        <w:color w:val="0070C0"/>
        <w:sz w:val="18"/>
        <w:szCs w:val="22"/>
      </w:rPr>
      <w:t>May, 2015</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w:t>
    </w:r>
    <w:r w:rsidR="0064785C">
      <w:rPr>
        <w:rFonts w:asciiTheme="minorHAnsi" w:hAnsiTheme="minorHAnsi"/>
        <w:color w:val="0070C0"/>
        <w:sz w:val="18"/>
        <w:szCs w:val="22"/>
      </w:rPr>
      <w:t>2014R1</w:t>
    </w:r>
    <w:r>
      <w:rPr>
        <w:rFonts w:asciiTheme="minorHAnsi" w:hAnsiTheme="minorHAnsi"/>
        <w:color w:val="0070C0"/>
        <w:sz w:val="18"/>
        <w:szCs w:val="22"/>
      </w:rPr>
      <w:t>.</w:t>
    </w:r>
    <w:r w:rsidR="0064785C">
      <w:rPr>
        <w:rFonts w:asciiTheme="minorHAnsi" w:hAnsiTheme="minorHAnsi"/>
        <w:color w:val="0070C0"/>
        <w:sz w:val="18"/>
        <w:szCs w:val="22"/>
      </w:rPr>
      <w:t>2</w:t>
    </w:r>
  </w:p>
  <w:p w14:paraId="1462E67B" w14:textId="77777777" w:rsidR="00AD35D8" w:rsidRPr="0071254D" w:rsidRDefault="00AD35D8"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14441A">
      <w:rPr>
        <w:rStyle w:val="PageNumber"/>
        <w:rFonts w:asciiTheme="minorHAnsi" w:hAnsiTheme="minorHAnsi" w:cs="Times New Roman"/>
        <w:noProof/>
        <w:sz w:val="18"/>
        <w:szCs w:val="18"/>
      </w:rPr>
      <w:t>12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85FA9" w14:textId="77777777" w:rsidR="00332FA3" w:rsidRDefault="00332FA3">
      <w:r>
        <w:separator/>
      </w:r>
    </w:p>
  </w:footnote>
  <w:footnote w:type="continuationSeparator" w:id="0">
    <w:p w14:paraId="65AD53B3" w14:textId="77777777" w:rsidR="00332FA3" w:rsidRDefault="00332FA3">
      <w:r>
        <w:continuationSeparator/>
      </w:r>
    </w:p>
  </w:footnote>
  <w:footnote w:type="continuationNotice" w:id="1">
    <w:p w14:paraId="15B60F3A" w14:textId="77777777" w:rsidR="00332FA3" w:rsidRDefault="00332FA3"/>
  </w:footnote>
  <w:footnote w:id="2">
    <w:p w14:paraId="753440FA" w14:textId="16411554" w:rsidR="00AD35D8" w:rsidRPr="004F562B" w:rsidRDefault="00AD35D8"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w:t>
      </w:r>
      <w:r w:rsidR="00865E0D">
        <w:rPr>
          <w:rFonts w:asciiTheme="minorHAnsi" w:hAnsiTheme="minorHAnsi" w:cs="Times New Roman"/>
          <w:sz w:val="16"/>
          <w:szCs w:val="16"/>
        </w:rPr>
        <w:t>ensure</w:t>
      </w:r>
      <w:r w:rsidR="00865E0D" w:rsidRPr="004F562B">
        <w:rPr>
          <w:rFonts w:asciiTheme="minorHAnsi" w:hAnsiTheme="minorHAnsi" w:cs="Times New Roman"/>
          <w:sz w:val="16"/>
          <w:szCs w:val="16"/>
        </w:rPr>
        <w:t xml:space="preserve"> </w:t>
      </w:r>
      <w:r w:rsidRPr="004F562B">
        <w:rPr>
          <w:rFonts w:asciiTheme="minorHAnsi" w:hAnsiTheme="minorHAnsi" w:cs="Times New Roman"/>
          <w:sz w:val="16"/>
          <w:szCs w:val="16"/>
        </w:rPr>
        <w:t>its compliance with the latest approved version of the Reliability Standards, by the applicable governmental authority, relevant to its registration status.</w:t>
      </w:r>
    </w:p>
    <w:p w14:paraId="70AD9E5E" w14:textId="77777777" w:rsidR="00AD35D8" w:rsidRPr="004F562B" w:rsidRDefault="00AD35D8" w:rsidP="001D52A5">
      <w:pPr>
        <w:jc w:val="both"/>
        <w:rPr>
          <w:rFonts w:asciiTheme="minorHAnsi" w:hAnsiTheme="minorHAnsi" w:cs="Times New Roman"/>
          <w:sz w:val="16"/>
          <w:szCs w:val="16"/>
        </w:rPr>
      </w:pPr>
    </w:p>
    <w:p w14:paraId="4FA17D8D" w14:textId="77777777" w:rsidR="00AD35D8" w:rsidRPr="004F562B" w:rsidRDefault="00AD35D8"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015A5861" w14:textId="77777777" w:rsidR="00AD35D8" w:rsidRDefault="00AD35D8">
      <w:pPr>
        <w:pStyle w:val="FootnoteText"/>
      </w:pPr>
    </w:p>
  </w:footnote>
  <w:footnote w:id="3">
    <w:p w14:paraId="01FD1FAA" w14:textId="77777777" w:rsidR="00AD35D8" w:rsidRPr="005E228B" w:rsidRDefault="00AD35D8">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4">
    <w:p w14:paraId="09C64CD2" w14:textId="26E80777" w:rsidR="00CC5C01" w:rsidRPr="00CC5C01" w:rsidRDefault="00CC5C01">
      <w:pPr>
        <w:pStyle w:val="FootnoteText"/>
        <w:rPr>
          <w:rFonts w:asciiTheme="minorHAnsi" w:hAnsiTheme="minorHAnsi"/>
          <w:sz w:val="16"/>
          <w:szCs w:val="16"/>
        </w:rPr>
      </w:pPr>
      <w:r w:rsidRPr="00CC5C01">
        <w:rPr>
          <w:rStyle w:val="FootnoteReference"/>
          <w:rFonts w:asciiTheme="minorHAnsi" w:hAnsiTheme="minorHAnsi"/>
          <w:sz w:val="16"/>
          <w:szCs w:val="16"/>
        </w:rPr>
        <w:footnoteRef/>
      </w:r>
      <w:r w:rsidRPr="00CC5C01">
        <w:rPr>
          <w:rFonts w:asciiTheme="minorHAnsi" w:hAnsiTheme="minorHAnsi"/>
          <w:sz w:val="16"/>
          <w:szCs w:val="16"/>
        </w:rPr>
        <w:t xml:space="preserve"> </w:t>
      </w:r>
      <w:r w:rsidRPr="000D6E37">
        <w:rPr>
          <w:rFonts w:asciiTheme="minorHAnsi" w:hAnsiTheme="minorHAnsi"/>
          <w:sz w:val="16"/>
          <w:szCs w:val="16"/>
        </w:rPr>
        <w:t>Requirement R3 applies to Transmission Operators with a Transmission Operator Area that includes a power transformer with a high side wy</w:t>
      </w:r>
      <w:r w:rsidR="00FF5B60" w:rsidRPr="000D6E37">
        <w:rPr>
          <w:rFonts w:asciiTheme="minorHAnsi" w:hAnsiTheme="minorHAnsi"/>
          <w:sz w:val="16"/>
          <w:szCs w:val="16"/>
        </w:rPr>
        <w:t>e</w:t>
      </w:r>
      <w:r w:rsidRPr="000D6E37">
        <w:rPr>
          <w:rFonts w:asciiTheme="minorHAnsi" w:hAnsiTheme="minorHAnsi"/>
          <w:sz w:val="16"/>
          <w:szCs w:val="16"/>
        </w:rPr>
        <w:t>-grounded winding with terminal voltage greater than 200 kV.</w:t>
      </w:r>
    </w:p>
  </w:footnote>
  <w:footnote w:id="5">
    <w:p w14:paraId="5820519B" w14:textId="001D06E9" w:rsidR="00E5796F" w:rsidRPr="00352B80" w:rsidRDefault="00E5796F">
      <w:pPr>
        <w:pStyle w:val="FootnoteText"/>
        <w:rPr>
          <w:rFonts w:asciiTheme="minorHAnsi" w:hAnsiTheme="minorHAnsi"/>
          <w:sz w:val="18"/>
          <w:szCs w:val="18"/>
        </w:rPr>
      </w:pPr>
      <w:r w:rsidRPr="00352B80">
        <w:rPr>
          <w:rStyle w:val="FootnoteReference"/>
          <w:rFonts w:asciiTheme="minorHAnsi" w:hAnsiTheme="minorHAnsi"/>
          <w:sz w:val="18"/>
          <w:szCs w:val="18"/>
        </w:rPr>
        <w:footnoteRef/>
      </w:r>
      <w:r w:rsidRPr="00352B80">
        <w:rPr>
          <w:rFonts w:asciiTheme="minorHAnsi" w:hAnsiTheme="minorHAnsi"/>
          <w:sz w:val="18"/>
          <w:szCs w:val="18"/>
        </w:rPr>
        <w:t xml:space="preserve"> </w:t>
      </w:r>
      <w:r w:rsidRPr="00352B80">
        <w:rPr>
          <w:rFonts w:asciiTheme="minorHAnsi" w:hAnsiTheme="minorHAnsi"/>
          <w:i/>
          <w:sz w:val="18"/>
          <w:szCs w:val="18"/>
        </w:rPr>
        <w:t>Reliability Standards for Geomagnetic Disturbances</w:t>
      </w:r>
      <w:r w:rsidRPr="00352B80">
        <w:rPr>
          <w:rFonts w:asciiTheme="minorHAnsi" w:hAnsiTheme="minorHAnsi"/>
          <w:sz w:val="18"/>
          <w:szCs w:val="18"/>
        </w:rPr>
        <w:t xml:space="preserve">, 143 FERC ¶ 61,147, </w:t>
      </w:r>
      <w:proofErr w:type="spellStart"/>
      <w:r w:rsidRPr="00352B80">
        <w:rPr>
          <w:rFonts w:asciiTheme="minorHAnsi" w:hAnsiTheme="minorHAnsi"/>
          <w:i/>
          <w:sz w:val="18"/>
          <w:szCs w:val="18"/>
        </w:rPr>
        <w:t>reh’g</w:t>
      </w:r>
      <w:proofErr w:type="spellEnd"/>
      <w:r w:rsidRPr="00352B80">
        <w:rPr>
          <w:rFonts w:asciiTheme="minorHAnsi" w:hAnsiTheme="minorHAnsi"/>
          <w:i/>
          <w:sz w:val="18"/>
          <w:szCs w:val="18"/>
        </w:rPr>
        <w:t xml:space="preserve"> denied</w:t>
      </w:r>
      <w:r w:rsidRPr="00352B80">
        <w:rPr>
          <w:rFonts w:asciiTheme="minorHAnsi" w:hAnsiTheme="minorHAnsi"/>
          <w:sz w:val="18"/>
          <w:szCs w:val="18"/>
        </w:rPr>
        <w:t>, 144 FERC ¶ 61,113 (2013).</w:t>
      </w:r>
    </w:p>
  </w:footnote>
  <w:footnote w:id="6">
    <w:p w14:paraId="75F0F744" w14:textId="4ADFEE35" w:rsidR="00352B80" w:rsidRPr="00352B80" w:rsidRDefault="00352B80">
      <w:pPr>
        <w:pStyle w:val="FootnoteText"/>
        <w:rPr>
          <w:rFonts w:asciiTheme="minorHAnsi" w:hAnsiTheme="minorHAnsi"/>
          <w:sz w:val="18"/>
          <w:szCs w:val="18"/>
        </w:rPr>
      </w:pPr>
      <w:r w:rsidRPr="00352B80">
        <w:rPr>
          <w:rStyle w:val="FootnoteReference"/>
          <w:rFonts w:asciiTheme="minorHAnsi" w:hAnsiTheme="minorHAnsi"/>
          <w:sz w:val="18"/>
          <w:szCs w:val="18"/>
        </w:rPr>
        <w:footnoteRef/>
      </w:r>
      <w:r w:rsidRPr="00352B80">
        <w:rPr>
          <w:rFonts w:asciiTheme="minorHAnsi" w:hAnsiTheme="minorHAnsi"/>
          <w:sz w:val="18"/>
          <w:szCs w:val="18"/>
        </w:rPr>
        <w:t xml:space="preserve"> </w:t>
      </w:r>
      <w:r w:rsidRPr="00352B80">
        <w:rPr>
          <w:rFonts w:asciiTheme="minorHAnsi" w:hAnsiTheme="minorHAnsi"/>
          <w:i/>
          <w:sz w:val="18"/>
          <w:szCs w:val="18"/>
        </w:rPr>
        <w:t>Reliability Standards for Geomagnetic Disturbances</w:t>
      </w:r>
      <w:r>
        <w:rPr>
          <w:rFonts w:asciiTheme="minorHAnsi" w:hAnsiTheme="minorHAnsi"/>
          <w:sz w:val="18"/>
          <w:szCs w:val="18"/>
        </w:rPr>
        <w:t>, 143 FERC ¶ 61,209 (June 19,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5A6B5" w14:textId="7054BCA7" w:rsidR="00AD35D8" w:rsidRDefault="00AD35D8" w:rsidP="00E67FE8">
    <w:pPr>
      <w:widowControl w:val="0"/>
      <w:spacing w:line="294" w:lineRule="exact"/>
      <w:rPr>
        <w:rFonts w:ascii="Times New Roman" w:hAnsi="Times New Roman" w:cs="Times New Roman"/>
        <w:b/>
        <w:bCs/>
        <w:color w:val="003366"/>
        <w:sz w:val="28"/>
        <w:szCs w:val="28"/>
      </w:rPr>
    </w:pPr>
  </w:p>
  <w:p w14:paraId="62B96410" w14:textId="17ED4271" w:rsidR="00AD35D8" w:rsidRPr="00747591" w:rsidRDefault="00AD35D8"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7D40B2D1" w14:textId="77777777" w:rsidR="00AD35D8" w:rsidRDefault="00AD35D8" w:rsidP="00747591">
    <w:pPr>
      <w:widowControl w:val="0"/>
      <w:spacing w:before="66"/>
      <w:rPr>
        <w:rFonts w:cs="Times New Roman"/>
      </w:rPr>
    </w:pPr>
    <w:r>
      <w:rPr>
        <w:rFonts w:cs="Times New Roman"/>
        <w:noProof/>
      </w:rPr>
      <w:drawing>
        <wp:inline distT="0" distB="0" distL="0" distR="0" wp14:anchorId="7C04FC87" wp14:editId="6658BC14">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3619098B" w14:textId="77777777" w:rsidR="00AD35D8" w:rsidRDefault="00AD35D8">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B35C0"/>
    <w:multiLevelType w:val="hybridMultilevel"/>
    <w:tmpl w:val="99003AE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402E6A5E"/>
    <w:multiLevelType w:val="hybridMultilevel"/>
    <w:tmpl w:val="F1A8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3329F"/>
    <w:multiLevelType w:val="multilevel"/>
    <w:tmpl w:val="2A80F36C"/>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1.%2."/>
      <w:lvlJc w:val="left"/>
      <w:pPr>
        <w:tabs>
          <w:tab w:val="num" w:pos="1440"/>
        </w:tabs>
        <w:ind w:left="1440" w:hanging="504"/>
      </w:pPr>
      <w:rPr>
        <w:rFonts w:asciiTheme="minorHAnsi" w:hAnsiTheme="minorHAnsi" w:hint="default"/>
        <w:b/>
        <w:i w:val="0"/>
        <w:sz w:val="22"/>
        <w:szCs w:val="22"/>
      </w:rPr>
    </w:lvl>
    <w:lvl w:ilvl="2">
      <w:start w:val="1"/>
      <w:numFmt w:val="decimal"/>
      <w:lvlText w:val="%1.%2.%3."/>
      <w:lvlJc w:val="left"/>
      <w:pPr>
        <w:tabs>
          <w:tab w:val="num" w:pos="1728"/>
        </w:tabs>
        <w:ind w:left="2160" w:hanging="720"/>
      </w:pPr>
      <w:rPr>
        <w:rFonts w:asciiTheme="minorHAnsi" w:hAnsiTheme="minorHAnsi" w:hint="default"/>
        <w:b/>
        <w:i w:val="0"/>
        <w:sz w:val="22"/>
        <w:szCs w:val="22"/>
      </w:rPr>
    </w:lvl>
    <w:lvl w:ilvl="3">
      <w:start w:val="1"/>
      <w:numFmt w:val="decimal"/>
      <w:lvlText w:val="%1.%2.%3.%4."/>
      <w:lvlJc w:val="left"/>
      <w:pPr>
        <w:tabs>
          <w:tab w:val="num" w:pos="2160"/>
        </w:tabs>
        <w:ind w:left="3240" w:hanging="1080"/>
      </w:pPr>
      <w:rPr>
        <w:rFonts w:asciiTheme="minorHAnsi" w:hAnsiTheme="minorHAnsi" w:hint="default"/>
        <w:b/>
        <w:i w:val="0"/>
        <w:sz w:val="22"/>
        <w:szCs w:val="22"/>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15:restartNumberingAfterBreak="0">
    <w:nsid w:val="67CB3584"/>
    <w:multiLevelType w:val="multilevel"/>
    <w:tmpl w:val="A9EC2CCE"/>
    <w:lvl w:ilvl="0">
      <w:start w:val="1"/>
      <w:numFmt w:val="decimal"/>
      <w:pStyle w:val="Measure"/>
      <w:lvlText w:val="M%1."/>
      <w:lvlJc w:val="left"/>
      <w:pPr>
        <w:tabs>
          <w:tab w:val="num" w:pos="360"/>
        </w:tabs>
        <w:ind w:left="936" w:hanging="576"/>
      </w:pPr>
      <w:rPr>
        <w:rFonts w:asciiTheme="minorHAnsi" w:hAnsiTheme="minorHAnsi" w:hint="default"/>
        <w:b/>
        <w:i w:val="0"/>
        <w:color w:val="auto"/>
        <w:sz w:val="22"/>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0716D"/>
    <w:rsid w:val="00010230"/>
    <w:rsid w:val="00010389"/>
    <w:rsid w:val="00010401"/>
    <w:rsid w:val="00013BFD"/>
    <w:rsid w:val="00013E13"/>
    <w:rsid w:val="00014D37"/>
    <w:rsid w:val="00015EAB"/>
    <w:rsid w:val="000177C2"/>
    <w:rsid w:val="0001788B"/>
    <w:rsid w:val="000179A2"/>
    <w:rsid w:val="000212D9"/>
    <w:rsid w:val="00021844"/>
    <w:rsid w:val="0002269C"/>
    <w:rsid w:val="00022E22"/>
    <w:rsid w:val="000247EF"/>
    <w:rsid w:val="00024B13"/>
    <w:rsid w:val="000255CE"/>
    <w:rsid w:val="000300B9"/>
    <w:rsid w:val="00034ADC"/>
    <w:rsid w:val="00036978"/>
    <w:rsid w:val="00041263"/>
    <w:rsid w:val="00041788"/>
    <w:rsid w:val="00044024"/>
    <w:rsid w:val="00045121"/>
    <w:rsid w:val="00047231"/>
    <w:rsid w:val="00052F5E"/>
    <w:rsid w:val="00055176"/>
    <w:rsid w:val="0005590C"/>
    <w:rsid w:val="00060F12"/>
    <w:rsid w:val="00061CC7"/>
    <w:rsid w:val="0006226D"/>
    <w:rsid w:val="00072DCD"/>
    <w:rsid w:val="00075902"/>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C07DB"/>
    <w:rsid w:val="000C282B"/>
    <w:rsid w:val="000C509C"/>
    <w:rsid w:val="000C7A6E"/>
    <w:rsid w:val="000D09F7"/>
    <w:rsid w:val="000D157D"/>
    <w:rsid w:val="000D3E6A"/>
    <w:rsid w:val="000D57B1"/>
    <w:rsid w:val="000D69B0"/>
    <w:rsid w:val="000D6E37"/>
    <w:rsid w:val="000E064C"/>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25B8"/>
    <w:rsid w:val="000F62C0"/>
    <w:rsid w:val="000F64BD"/>
    <w:rsid w:val="000F6D7D"/>
    <w:rsid w:val="000F723F"/>
    <w:rsid w:val="00100788"/>
    <w:rsid w:val="001057DE"/>
    <w:rsid w:val="001061B6"/>
    <w:rsid w:val="001075BF"/>
    <w:rsid w:val="00111900"/>
    <w:rsid w:val="00111E67"/>
    <w:rsid w:val="00112EB7"/>
    <w:rsid w:val="00113668"/>
    <w:rsid w:val="00114301"/>
    <w:rsid w:val="00114853"/>
    <w:rsid w:val="00114F96"/>
    <w:rsid w:val="00114FEB"/>
    <w:rsid w:val="001150AC"/>
    <w:rsid w:val="00115DBA"/>
    <w:rsid w:val="00116AAD"/>
    <w:rsid w:val="00116E61"/>
    <w:rsid w:val="0012086C"/>
    <w:rsid w:val="001209C7"/>
    <w:rsid w:val="0013224E"/>
    <w:rsid w:val="00135B25"/>
    <w:rsid w:val="0013627F"/>
    <w:rsid w:val="00137112"/>
    <w:rsid w:val="00142616"/>
    <w:rsid w:val="00142A0C"/>
    <w:rsid w:val="0014441A"/>
    <w:rsid w:val="00144BC6"/>
    <w:rsid w:val="001463DA"/>
    <w:rsid w:val="0015166E"/>
    <w:rsid w:val="0015170D"/>
    <w:rsid w:val="001543FB"/>
    <w:rsid w:val="001566E4"/>
    <w:rsid w:val="00157B1C"/>
    <w:rsid w:val="001600CB"/>
    <w:rsid w:val="00161974"/>
    <w:rsid w:val="00161BCD"/>
    <w:rsid w:val="00162927"/>
    <w:rsid w:val="00167DAC"/>
    <w:rsid w:val="00167E7F"/>
    <w:rsid w:val="00171071"/>
    <w:rsid w:val="00172071"/>
    <w:rsid w:val="00172DFD"/>
    <w:rsid w:val="001748E6"/>
    <w:rsid w:val="00177161"/>
    <w:rsid w:val="00177FD0"/>
    <w:rsid w:val="00182687"/>
    <w:rsid w:val="00182C70"/>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B701F"/>
    <w:rsid w:val="001C03E2"/>
    <w:rsid w:val="001C1A1B"/>
    <w:rsid w:val="001C3ED4"/>
    <w:rsid w:val="001C4056"/>
    <w:rsid w:val="001C51AA"/>
    <w:rsid w:val="001C551D"/>
    <w:rsid w:val="001C70FD"/>
    <w:rsid w:val="001D0DE3"/>
    <w:rsid w:val="001D1BF8"/>
    <w:rsid w:val="001D2A77"/>
    <w:rsid w:val="001D34F6"/>
    <w:rsid w:val="001D4564"/>
    <w:rsid w:val="001D4565"/>
    <w:rsid w:val="001D52A5"/>
    <w:rsid w:val="001D5BA4"/>
    <w:rsid w:val="001D62CE"/>
    <w:rsid w:val="001E1503"/>
    <w:rsid w:val="001E184A"/>
    <w:rsid w:val="001E2423"/>
    <w:rsid w:val="001E2A9A"/>
    <w:rsid w:val="001E3714"/>
    <w:rsid w:val="001E3EB3"/>
    <w:rsid w:val="001E6C18"/>
    <w:rsid w:val="001E74CB"/>
    <w:rsid w:val="001E7885"/>
    <w:rsid w:val="001F068A"/>
    <w:rsid w:val="001F4070"/>
    <w:rsid w:val="001F42E0"/>
    <w:rsid w:val="00200BB7"/>
    <w:rsid w:val="00200C28"/>
    <w:rsid w:val="00200CB2"/>
    <w:rsid w:val="00201333"/>
    <w:rsid w:val="002024E6"/>
    <w:rsid w:val="002027AA"/>
    <w:rsid w:val="002066DB"/>
    <w:rsid w:val="00207E8C"/>
    <w:rsid w:val="002102A3"/>
    <w:rsid w:val="002103E2"/>
    <w:rsid w:val="00210513"/>
    <w:rsid w:val="00210BAE"/>
    <w:rsid w:val="002111D4"/>
    <w:rsid w:val="00212EEE"/>
    <w:rsid w:val="00213D72"/>
    <w:rsid w:val="00214DF3"/>
    <w:rsid w:val="002152B0"/>
    <w:rsid w:val="002165C8"/>
    <w:rsid w:val="00216D60"/>
    <w:rsid w:val="00217196"/>
    <w:rsid w:val="00222481"/>
    <w:rsid w:val="00223F37"/>
    <w:rsid w:val="00224B6E"/>
    <w:rsid w:val="00224F11"/>
    <w:rsid w:val="00225322"/>
    <w:rsid w:val="00226184"/>
    <w:rsid w:val="00231A38"/>
    <w:rsid w:val="00234DD6"/>
    <w:rsid w:val="00236B31"/>
    <w:rsid w:val="00237055"/>
    <w:rsid w:val="002420D5"/>
    <w:rsid w:val="0024538A"/>
    <w:rsid w:val="002460D2"/>
    <w:rsid w:val="002462CB"/>
    <w:rsid w:val="0024686B"/>
    <w:rsid w:val="00246DD2"/>
    <w:rsid w:val="00247004"/>
    <w:rsid w:val="002515D8"/>
    <w:rsid w:val="00252987"/>
    <w:rsid w:val="00252ABD"/>
    <w:rsid w:val="00255D98"/>
    <w:rsid w:val="002613DD"/>
    <w:rsid w:val="002628BA"/>
    <w:rsid w:val="00270B72"/>
    <w:rsid w:val="00271B22"/>
    <w:rsid w:val="00272D1D"/>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895"/>
    <w:rsid w:val="00293B3D"/>
    <w:rsid w:val="00293D2F"/>
    <w:rsid w:val="00294318"/>
    <w:rsid w:val="00294EE5"/>
    <w:rsid w:val="00295776"/>
    <w:rsid w:val="00296AB3"/>
    <w:rsid w:val="00297CED"/>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025E"/>
    <w:rsid w:val="002E11CD"/>
    <w:rsid w:val="002E24FB"/>
    <w:rsid w:val="002E7D4E"/>
    <w:rsid w:val="002F16A7"/>
    <w:rsid w:val="002F3FA2"/>
    <w:rsid w:val="002F6CEE"/>
    <w:rsid w:val="0030012B"/>
    <w:rsid w:val="00300224"/>
    <w:rsid w:val="00304924"/>
    <w:rsid w:val="00304FF0"/>
    <w:rsid w:val="003054C4"/>
    <w:rsid w:val="00305CC5"/>
    <w:rsid w:val="003062CC"/>
    <w:rsid w:val="00306738"/>
    <w:rsid w:val="0031055B"/>
    <w:rsid w:val="003113D1"/>
    <w:rsid w:val="0031156F"/>
    <w:rsid w:val="00311633"/>
    <w:rsid w:val="00323042"/>
    <w:rsid w:val="003230AA"/>
    <w:rsid w:val="00324C2A"/>
    <w:rsid w:val="00330AF1"/>
    <w:rsid w:val="00332FA3"/>
    <w:rsid w:val="00333561"/>
    <w:rsid w:val="00334436"/>
    <w:rsid w:val="00334A5C"/>
    <w:rsid w:val="003379A2"/>
    <w:rsid w:val="00340802"/>
    <w:rsid w:val="0034396E"/>
    <w:rsid w:val="00345FA1"/>
    <w:rsid w:val="00346551"/>
    <w:rsid w:val="00346CA1"/>
    <w:rsid w:val="0035254C"/>
    <w:rsid w:val="00352AC9"/>
    <w:rsid w:val="00352B80"/>
    <w:rsid w:val="00353E3C"/>
    <w:rsid w:val="00353EC7"/>
    <w:rsid w:val="00354CBA"/>
    <w:rsid w:val="00355A69"/>
    <w:rsid w:val="00360135"/>
    <w:rsid w:val="003612BA"/>
    <w:rsid w:val="003613BA"/>
    <w:rsid w:val="003615D9"/>
    <w:rsid w:val="00363C51"/>
    <w:rsid w:val="00364605"/>
    <w:rsid w:val="00364BA3"/>
    <w:rsid w:val="00364E38"/>
    <w:rsid w:val="00365D4D"/>
    <w:rsid w:val="00370777"/>
    <w:rsid w:val="0037545A"/>
    <w:rsid w:val="00375760"/>
    <w:rsid w:val="00375BB4"/>
    <w:rsid w:val="00377DE7"/>
    <w:rsid w:val="00380334"/>
    <w:rsid w:val="003805B1"/>
    <w:rsid w:val="00381769"/>
    <w:rsid w:val="0038297E"/>
    <w:rsid w:val="00382BCC"/>
    <w:rsid w:val="00382C18"/>
    <w:rsid w:val="0038326F"/>
    <w:rsid w:val="003832E7"/>
    <w:rsid w:val="00384B0D"/>
    <w:rsid w:val="00384CDD"/>
    <w:rsid w:val="00385C89"/>
    <w:rsid w:val="00386B15"/>
    <w:rsid w:val="003875CC"/>
    <w:rsid w:val="00387C24"/>
    <w:rsid w:val="00390D2D"/>
    <w:rsid w:val="00391448"/>
    <w:rsid w:val="003916DB"/>
    <w:rsid w:val="00393F9C"/>
    <w:rsid w:val="0039421A"/>
    <w:rsid w:val="0039464A"/>
    <w:rsid w:val="00394AB6"/>
    <w:rsid w:val="003A02C8"/>
    <w:rsid w:val="003A134C"/>
    <w:rsid w:val="003A2E40"/>
    <w:rsid w:val="003A35BF"/>
    <w:rsid w:val="003A3B76"/>
    <w:rsid w:val="003A64CA"/>
    <w:rsid w:val="003A705F"/>
    <w:rsid w:val="003B25E4"/>
    <w:rsid w:val="003B2BF5"/>
    <w:rsid w:val="003B2DE1"/>
    <w:rsid w:val="003B50F6"/>
    <w:rsid w:val="003B5E7B"/>
    <w:rsid w:val="003B6708"/>
    <w:rsid w:val="003C0AF1"/>
    <w:rsid w:val="003C20AB"/>
    <w:rsid w:val="003C5A9F"/>
    <w:rsid w:val="003C629F"/>
    <w:rsid w:val="003C64CF"/>
    <w:rsid w:val="003C68D9"/>
    <w:rsid w:val="003D1343"/>
    <w:rsid w:val="003D28AA"/>
    <w:rsid w:val="003D53E4"/>
    <w:rsid w:val="003D7039"/>
    <w:rsid w:val="003E1473"/>
    <w:rsid w:val="003E1E03"/>
    <w:rsid w:val="003E2299"/>
    <w:rsid w:val="003E2468"/>
    <w:rsid w:val="003E39BF"/>
    <w:rsid w:val="003E42B0"/>
    <w:rsid w:val="003E4476"/>
    <w:rsid w:val="003E4BA4"/>
    <w:rsid w:val="003E5193"/>
    <w:rsid w:val="003E60F2"/>
    <w:rsid w:val="003F0CCC"/>
    <w:rsid w:val="003F1759"/>
    <w:rsid w:val="003F1D3A"/>
    <w:rsid w:val="003F2164"/>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27E7A"/>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4A0"/>
    <w:rsid w:val="00456BF5"/>
    <w:rsid w:val="00462069"/>
    <w:rsid w:val="0046364E"/>
    <w:rsid w:val="00464FDB"/>
    <w:rsid w:val="00465F5F"/>
    <w:rsid w:val="00466E61"/>
    <w:rsid w:val="00467888"/>
    <w:rsid w:val="00467D57"/>
    <w:rsid w:val="00470ADE"/>
    <w:rsid w:val="00471785"/>
    <w:rsid w:val="00471D99"/>
    <w:rsid w:val="00472277"/>
    <w:rsid w:val="00473A3D"/>
    <w:rsid w:val="0047440B"/>
    <w:rsid w:val="004768F2"/>
    <w:rsid w:val="00476C7E"/>
    <w:rsid w:val="0048223A"/>
    <w:rsid w:val="0048238D"/>
    <w:rsid w:val="00487ACC"/>
    <w:rsid w:val="00490283"/>
    <w:rsid w:val="00491A1B"/>
    <w:rsid w:val="0049303A"/>
    <w:rsid w:val="0049380D"/>
    <w:rsid w:val="00495257"/>
    <w:rsid w:val="004969DC"/>
    <w:rsid w:val="004A1D06"/>
    <w:rsid w:val="004A2824"/>
    <w:rsid w:val="004A2ABA"/>
    <w:rsid w:val="004A308D"/>
    <w:rsid w:val="004A5CF9"/>
    <w:rsid w:val="004A78D6"/>
    <w:rsid w:val="004B0169"/>
    <w:rsid w:val="004B49D0"/>
    <w:rsid w:val="004C2391"/>
    <w:rsid w:val="004C472E"/>
    <w:rsid w:val="004C4781"/>
    <w:rsid w:val="004C52B9"/>
    <w:rsid w:val="004D0009"/>
    <w:rsid w:val="004D04FC"/>
    <w:rsid w:val="004D0513"/>
    <w:rsid w:val="004D0BCE"/>
    <w:rsid w:val="004D163A"/>
    <w:rsid w:val="004D1788"/>
    <w:rsid w:val="004D30D3"/>
    <w:rsid w:val="004D36B2"/>
    <w:rsid w:val="004E0517"/>
    <w:rsid w:val="004E0A3D"/>
    <w:rsid w:val="004E11B9"/>
    <w:rsid w:val="004E17D4"/>
    <w:rsid w:val="004E1BC5"/>
    <w:rsid w:val="004E3D71"/>
    <w:rsid w:val="004E60B8"/>
    <w:rsid w:val="004E77ED"/>
    <w:rsid w:val="004F3934"/>
    <w:rsid w:val="004F4EE3"/>
    <w:rsid w:val="004F562B"/>
    <w:rsid w:val="004F7DA7"/>
    <w:rsid w:val="005001F7"/>
    <w:rsid w:val="00501243"/>
    <w:rsid w:val="00504B91"/>
    <w:rsid w:val="00505CE2"/>
    <w:rsid w:val="00506494"/>
    <w:rsid w:val="005076DD"/>
    <w:rsid w:val="00507DEE"/>
    <w:rsid w:val="00511010"/>
    <w:rsid w:val="00512FE1"/>
    <w:rsid w:val="005153EF"/>
    <w:rsid w:val="00521BBC"/>
    <w:rsid w:val="00522415"/>
    <w:rsid w:val="00522C5C"/>
    <w:rsid w:val="00523401"/>
    <w:rsid w:val="00524217"/>
    <w:rsid w:val="005242D1"/>
    <w:rsid w:val="005244B2"/>
    <w:rsid w:val="00525998"/>
    <w:rsid w:val="00525B94"/>
    <w:rsid w:val="0053140B"/>
    <w:rsid w:val="00531618"/>
    <w:rsid w:val="00531B09"/>
    <w:rsid w:val="00531DDB"/>
    <w:rsid w:val="00533EAB"/>
    <w:rsid w:val="005341A7"/>
    <w:rsid w:val="0053450E"/>
    <w:rsid w:val="00535622"/>
    <w:rsid w:val="0053707F"/>
    <w:rsid w:val="005403FB"/>
    <w:rsid w:val="00541512"/>
    <w:rsid w:val="00542761"/>
    <w:rsid w:val="00542EAA"/>
    <w:rsid w:val="005466D8"/>
    <w:rsid w:val="005477A9"/>
    <w:rsid w:val="00550866"/>
    <w:rsid w:val="0055424D"/>
    <w:rsid w:val="00554773"/>
    <w:rsid w:val="00554C28"/>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8283B"/>
    <w:rsid w:val="0058377B"/>
    <w:rsid w:val="00593F04"/>
    <w:rsid w:val="00595014"/>
    <w:rsid w:val="005957F8"/>
    <w:rsid w:val="00597D26"/>
    <w:rsid w:val="005A2F7B"/>
    <w:rsid w:val="005A39DD"/>
    <w:rsid w:val="005A430B"/>
    <w:rsid w:val="005B13AC"/>
    <w:rsid w:val="005B17AD"/>
    <w:rsid w:val="005B25E0"/>
    <w:rsid w:val="005B2C44"/>
    <w:rsid w:val="005B3B4E"/>
    <w:rsid w:val="005B6B7F"/>
    <w:rsid w:val="005B77C7"/>
    <w:rsid w:val="005C1674"/>
    <w:rsid w:val="005C32D3"/>
    <w:rsid w:val="005C3556"/>
    <w:rsid w:val="005C359A"/>
    <w:rsid w:val="005C5B55"/>
    <w:rsid w:val="005C664E"/>
    <w:rsid w:val="005D0B81"/>
    <w:rsid w:val="005D0DA7"/>
    <w:rsid w:val="005D4351"/>
    <w:rsid w:val="005D4490"/>
    <w:rsid w:val="005D5112"/>
    <w:rsid w:val="005D6887"/>
    <w:rsid w:val="005D6B07"/>
    <w:rsid w:val="005D73DE"/>
    <w:rsid w:val="005D7AED"/>
    <w:rsid w:val="005E2216"/>
    <w:rsid w:val="005E228B"/>
    <w:rsid w:val="005E2665"/>
    <w:rsid w:val="005E3D17"/>
    <w:rsid w:val="005E4EA3"/>
    <w:rsid w:val="005F38C9"/>
    <w:rsid w:val="005F4033"/>
    <w:rsid w:val="005F411D"/>
    <w:rsid w:val="005F43DA"/>
    <w:rsid w:val="005F514E"/>
    <w:rsid w:val="005F5555"/>
    <w:rsid w:val="005F783F"/>
    <w:rsid w:val="005F7CC9"/>
    <w:rsid w:val="00600A9A"/>
    <w:rsid w:val="00601C53"/>
    <w:rsid w:val="00601E44"/>
    <w:rsid w:val="00601F88"/>
    <w:rsid w:val="00602021"/>
    <w:rsid w:val="00611BFD"/>
    <w:rsid w:val="00612470"/>
    <w:rsid w:val="00612B97"/>
    <w:rsid w:val="00612CA0"/>
    <w:rsid w:val="00612CD9"/>
    <w:rsid w:val="0061316F"/>
    <w:rsid w:val="006136C6"/>
    <w:rsid w:val="00617A9F"/>
    <w:rsid w:val="0062089D"/>
    <w:rsid w:val="00620E73"/>
    <w:rsid w:val="00621B47"/>
    <w:rsid w:val="00621DCB"/>
    <w:rsid w:val="00625077"/>
    <w:rsid w:val="00625AD2"/>
    <w:rsid w:val="00631B15"/>
    <w:rsid w:val="006335BB"/>
    <w:rsid w:val="00633F5A"/>
    <w:rsid w:val="00634133"/>
    <w:rsid w:val="00635FB0"/>
    <w:rsid w:val="0064126D"/>
    <w:rsid w:val="00641911"/>
    <w:rsid w:val="00642AE9"/>
    <w:rsid w:val="0064547F"/>
    <w:rsid w:val="00647497"/>
    <w:rsid w:val="006477F2"/>
    <w:rsid w:val="0064785C"/>
    <w:rsid w:val="00651481"/>
    <w:rsid w:val="00652EF8"/>
    <w:rsid w:val="00654818"/>
    <w:rsid w:val="00654B57"/>
    <w:rsid w:val="00655BED"/>
    <w:rsid w:val="00660E26"/>
    <w:rsid w:val="00661A57"/>
    <w:rsid w:val="00663B68"/>
    <w:rsid w:val="0066403A"/>
    <w:rsid w:val="00664419"/>
    <w:rsid w:val="00665924"/>
    <w:rsid w:val="006734AC"/>
    <w:rsid w:val="00673F69"/>
    <w:rsid w:val="006779E8"/>
    <w:rsid w:val="00677F0D"/>
    <w:rsid w:val="00680C03"/>
    <w:rsid w:val="0068392C"/>
    <w:rsid w:val="006841B7"/>
    <w:rsid w:val="00684718"/>
    <w:rsid w:val="00684DE2"/>
    <w:rsid w:val="00687673"/>
    <w:rsid w:val="006927B9"/>
    <w:rsid w:val="00692A61"/>
    <w:rsid w:val="0069400D"/>
    <w:rsid w:val="00695EC3"/>
    <w:rsid w:val="00696C67"/>
    <w:rsid w:val="006A1AAE"/>
    <w:rsid w:val="006A2650"/>
    <w:rsid w:val="006A49AE"/>
    <w:rsid w:val="006A79D5"/>
    <w:rsid w:val="006B0C28"/>
    <w:rsid w:val="006B15BB"/>
    <w:rsid w:val="006B23C2"/>
    <w:rsid w:val="006B2624"/>
    <w:rsid w:val="006B3DBC"/>
    <w:rsid w:val="006C2E95"/>
    <w:rsid w:val="006C43BC"/>
    <w:rsid w:val="006C4940"/>
    <w:rsid w:val="006C5B03"/>
    <w:rsid w:val="006C6597"/>
    <w:rsid w:val="006D1AA0"/>
    <w:rsid w:val="006D6BDF"/>
    <w:rsid w:val="006E2863"/>
    <w:rsid w:val="006E3D69"/>
    <w:rsid w:val="006E47CB"/>
    <w:rsid w:val="006F054B"/>
    <w:rsid w:val="006F0CB6"/>
    <w:rsid w:val="006F1334"/>
    <w:rsid w:val="006F15C9"/>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003"/>
    <w:rsid w:val="00721842"/>
    <w:rsid w:val="00723145"/>
    <w:rsid w:val="007244C7"/>
    <w:rsid w:val="007254B0"/>
    <w:rsid w:val="00725A88"/>
    <w:rsid w:val="00726FC2"/>
    <w:rsid w:val="0072720A"/>
    <w:rsid w:val="00727AC8"/>
    <w:rsid w:val="0073112E"/>
    <w:rsid w:val="00731E2B"/>
    <w:rsid w:val="00731F2C"/>
    <w:rsid w:val="0073245D"/>
    <w:rsid w:val="00732C1D"/>
    <w:rsid w:val="007339DA"/>
    <w:rsid w:val="00741770"/>
    <w:rsid w:val="007456A8"/>
    <w:rsid w:val="00747591"/>
    <w:rsid w:val="00752E9F"/>
    <w:rsid w:val="00753BB3"/>
    <w:rsid w:val="007560B9"/>
    <w:rsid w:val="007563D8"/>
    <w:rsid w:val="0075658E"/>
    <w:rsid w:val="0075724C"/>
    <w:rsid w:val="00760FD3"/>
    <w:rsid w:val="00762707"/>
    <w:rsid w:val="00763025"/>
    <w:rsid w:val="00763804"/>
    <w:rsid w:val="00763816"/>
    <w:rsid w:val="00766EFB"/>
    <w:rsid w:val="00767164"/>
    <w:rsid w:val="00767D84"/>
    <w:rsid w:val="007717C0"/>
    <w:rsid w:val="00771926"/>
    <w:rsid w:val="00772F74"/>
    <w:rsid w:val="0077482A"/>
    <w:rsid w:val="00775476"/>
    <w:rsid w:val="00776474"/>
    <w:rsid w:val="0077665D"/>
    <w:rsid w:val="007778AA"/>
    <w:rsid w:val="007803A1"/>
    <w:rsid w:val="00782D05"/>
    <w:rsid w:val="0078421B"/>
    <w:rsid w:val="00784F0F"/>
    <w:rsid w:val="00785445"/>
    <w:rsid w:val="00790C18"/>
    <w:rsid w:val="00790F83"/>
    <w:rsid w:val="00791E29"/>
    <w:rsid w:val="007950F6"/>
    <w:rsid w:val="007955E5"/>
    <w:rsid w:val="007965AD"/>
    <w:rsid w:val="007968E0"/>
    <w:rsid w:val="0079799E"/>
    <w:rsid w:val="00797F9E"/>
    <w:rsid w:val="007A03C8"/>
    <w:rsid w:val="007A0778"/>
    <w:rsid w:val="007A379C"/>
    <w:rsid w:val="007A3A04"/>
    <w:rsid w:val="007A42E3"/>
    <w:rsid w:val="007A4620"/>
    <w:rsid w:val="007A5922"/>
    <w:rsid w:val="007A677F"/>
    <w:rsid w:val="007A6C8D"/>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1FCD"/>
    <w:rsid w:val="007D3393"/>
    <w:rsid w:val="007D3700"/>
    <w:rsid w:val="007D4D88"/>
    <w:rsid w:val="007D57E4"/>
    <w:rsid w:val="007D62B4"/>
    <w:rsid w:val="007D6934"/>
    <w:rsid w:val="007D6A21"/>
    <w:rsid w:val="007D7116"/>
    <w:rsid w:val="007D7911"/>
    <w:rsid w:val="007E0126"/>
    <w:rsid w:val="007E1FA9"/>
    <w:rsid w:val="007E3754"/>
    <w:rsid w:val="007E3EBA"/>
    <w:rsid w:val="007E4229"/>
    <w:rsid w:val="007E4874"/>
    <w:rsid w:val="007E5B1C"/>
    <w:rsid w:val="007F181B"/>
    <w:rsid w:val="007F428E"/>
    <w:rsid w:val="007F5823"/>
    <w:rsid w:val="007F66BF"/>
    <w:rsid w:val="007F794F"/>
    <w:rsid w:val="00801C99"/>
    <w:rsid w:val="00802D70"/>
    <w:rsid w:val="0080370A"/>
    <w:rsid w:val="00803D25"/>
    <w:rsid w:val="0080748F"/>
    <w:rsid w:val="008117A5"/>
    <w:rsid w:val="00812336"/>
    <w:rsid w:val="00813503"/>
    <w:rsid w:val="00816182"/>
    <w:rsid w:val="00816AB5"/>
    <w:rsid w:val="008208DB"/>
    <w:rsid w:val="0082291E"/>
    <w:rsid w:val="00825468"/>
    <w:rsid w:val="00825D4B"/>
    <w:rsid w:val="008275C2"/>
    <w:rsid w:val="00831345"/>
    <w:rsid w:val="00831668"/>
    <w:rsid w:val="00832575"/>
    <w:rsid w:val="008325C7"/>
    <w:rsid w:val="00834F88"/>
    <w:rsid w:val="0083544A"/>
    <w:rsid w:val="00835E74"/>
    <w:rsid w:val="00837600"/>
    <w:rsid w:val="00840479"/>
    <w:rsid w:val="00840AE3"/>
    <w:rsid w:val="00841C38"/>
    <w:rsid w:val="00842C07"/>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5E0D"/>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2232"/>
    <w:rsid w:val="008B43AD"/>
    <w:rsid w:val="008B4D59"/>
    <w:rsid w:val="008C17EB"/>
    <w:rsid w:val="008C243D"/>
    <w:rsid w:val="008C330D"/>
    <w:rsid w:val="008C595A"/>
    <w:rsid w:val="008C65D1"/>
    <w:rsid w:val="008C7867"/>
    <w:rsid w:val="008D042B"/>
    <w:rsid w:val="008D14DE"/>
    <w:rsid w:val="008D2944"/>
    <w:rsid w:val="008D29E0"/>
    <w:rsid w:val="008D31F6"/>
    <w:rsid w:val="008D409A"/>
    <w:rsid w:val="008D4860"/>
    <w:rsid w:val="008D4C17"/>
    <w:rsid w:val="008E0E39"/>
    <w:rsid w:val="008E177D"/>
    <w:rsid w:val="008E2539"/>
    <w:rsid w:val="008E2A7F"/>
    <w:rsid w:val="008E2C03"/>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07FF2"/>
    <w:rsid w:val="00914E30"/>
    <w:rsid w:val="009171D3"/>
    <w:rsid w:val="0092246E"/>
    <w:rsid w:val="009238FB"/>
    <w:rsid w:val="00923919"/>
    <w:rsid w:val="00923FD5"/>
    <w:rsid w:val="0093027E"/>
    <w:rsid w:val="0093048F"/>
    <w:rsid w:val="0093423F"/>
    <w:rsid w:val="00935F06"/>
    <w:rsid w:val="0093605C"/>
    <w:rsid w:val="00936323"/>
    <w:rsid w:val="0094008C"/>
    <w:rsid w:val="00940747"/>
    <w:rsid w:val="00942833"/>
    <w:rsid w:val="00942A86"/>
    <w:rsid w:val="00943650"/>
    <w:rsid w:val="00946799"/>
    <w:rsid w:val="00947870"/>
    <w:rsid w:val="009518B1"/>
    <w:rsid w:val="00951EC6"/>
    <w:rsid w:val="00952B5D"/>
    <w:rsid w:val="00953AD0"/>
    <w:rsid w:val="00953B08"/>
    <w:rsid w:val="00955457"/>
    <w:rsid w:val="009574AB"/>
    <w:rsid w:val="0095786E"/>
    <w:rsid w:val="00960193"/>
    <w:rsid w:val="00963D52"/>
    <w:rsid w:val="009662CB"/>
    <w:rsid w:val="00966416"/>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65E2"/>
    <w:rsid w:val="00997C1D"/>
    <w:rsid w:val="00997E54"/>
    <w:rsid w:val="009A0137"/>
    <w:rsid w:val="009A0D86"/>
    <w:rsid w:val="009A39CD"/>
    <w:rsid w:val="009A4A42"/>
    <w:rsid w:val="009A57E8"/>
    <w:rsid w:val="009A7698"/>
    <w:rsid w:val="009A7E88"/>
    <w:rsid w:val="009B299B"/>
    <w:rsid w:val="009B42B5"/>
    <w:rsid w:val="009C03E5"/>
    <w:rsid w:val="009C3AAE"/>
    <w:rsid w:val="009C4442"/>
    <w:rsid w:val="009C6343"/>
    <w:rsid w:val="009C6ABE"/>
    <w:rsid w:val="009D181E"/>
    <w:rsid w:val="009D1C01"/>
    <w:rsid w:val="009D2E9C"/>
    <w:rsid w:val="009D54C0"/>
    <w:rsid w:val="009D79B0"/>
    <w:rsid w:val="009E08E2"/>
    <w:rsid w:val="009E11CF"/>
    <w:rsid w:val="009E37EB"/>
    <w:rsid w:val="009E398F"/>
    <w:rsid w:val="009E4B99"/>
    <w:rsid w:val="009E5FE4"/>
    <w:rsid w:val="009F14D6"/>
    <w:rsid w:val="009F2FFC"/>
    <w:rsid w:val="009F32EC"/>
    <w:rsid w:val="009F3B5A"/>
    <w:rsid w:val="009F4F9F"/>
    <w:rsid w:val="009F69E4"/>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27D81"/>
    <w:rsid w:val="00A30A2F"/>
    <w:rsid w:val="00A30EBD"/>
    <w:rsid w:val="00A324F4"/>
    <w:rsid w:val="00A33684"/>
    <w:rsid w:val="00A33C62"/>
    <w:rsid w:val="00A348F0"/>
    <w:rsid w:val="00A3536E"/>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3B68"/>
    <w:rsid w:val="00A64F18"/>
    <w:rsid w:val="00A6648C"/>
    <w:rsid w:val="00A71E3D"/>
    <w:rsid w:val="00A71EEA"/>
    <w:rsid w:val="00A83F3A"/>
    <w:rsid w:val="00A8569E"/>
    <w:rsid w:val="00A856CC"/>
    <w:rsid w:val="00A85D6A"/>
    <w:rsid w:val="00A8677A"/>
    <w:rsid w:val="00A86EBA"/>
    <w:rsid w:val="00A876DA"/>
    <w:rsid w:val="00A87A00"/>
    <w:rsid w:val="00A90E00"/>
    <w:rsid w:val="00A9182C"/>
    <w:rsid w:val="00A92008"/>
    <w:rsid w:val="00A94DFD"/>
    <w:rsid w:val="00A95050"/>
    <w:rsid w:val="00A9792F"/>
    <w:rsid w:val="00AA1527"/>
    <w:rsid w:val="00AA2F8E"/>
    <w:rsid w:val="00AA45E9"/>
    <w:rsid w:val="00AA4874"/>
    <w:rsid w:val="00AA54B5"/>
    <w:rsid w:val="00AB0340"/>
    <w:rsid w:val="00AB0944"/>
    <w:rsid w:val="00AB1F55"/>
    <w:rsid w:val="00AB271B"/>
    <w:rsid w:val="00AB3C20"/>
    <w:rsid w:val="00AB4786"/>
    <w:rsid w:val="00AB516F"/>
    <w:rsid w:val="00AB5A87"/>
    <w:rsid w:val="00AB7D5B"/>
    <w:rsid w:val="00AC0EC3"/>
    <w:rsid w:val="00AC1BE1"/>
    <w:rsid w:val="00AC38BE"/>
    <w:rsid w:val="00AC5876"/>
    <w:rsid w:val="00AC6D06"/>
    <w:rsid w:val="00AD0F1F"/>
    <w:rsid w:val="00AD32EC"/>
    <w:rsid w:val="00AD35D8"/>
    <w:rsid w:val="00AD482F"/>
    <w:rsid w:val="00AD50F8"/>
    <w:rsid w:val="00AD780D"/>
    <w:rsid w:val="00AD79E2"/>
    <w:rsid w:val="00AE0E26"/>
    <w:rsid w:val="00AE0E65"/>
    <w:rsid w:val="00AE124D"/>
    <w:rsid w:val="00AE20AE"/>
    <w:rsid w:val="00AE2FDD"/>
    <w:rsid w:val="00AE53C7"/>
    <w:rsid w:val="00AE59A1"/>
    <w:rsid w:val="00AE63AE"/>
    <w:rsid w:val="00AE6F53"/>
    <w:rsid w:val="00AE7BCD"/>
    <w:rsid w:val="00AF0B3E"/>
    <w:rsid w:val="00AF1605"/>
    <w:rsid w:val="00AF453F"/>
    <w:rsid w:val="00AF6EF7"/>
    <w:rsid w:val="00AF7570"/>
    <w:rsid w:val="00AF7D36"/>
    <w:rsid w:val="00B018EF"/>
    <w:rsid w:val="00B01F43"/>
    <w:rsid w:val="00B03363"/>
    <w:rsid w:val="00B05F09"/>
    <w:rsid w:val="00B07E6E"/>
    <w:rsid w:val="00B103F3"/>
    <w:rsid w:val="00B11352"/>
    <w:rsid w:val="00B1351F"/>
    <w:rsid w:val="00B14F7A"/>
    <w:rsid w:val="00B156D5"/>
    <w:rsid w:val="00B15F0C"/>
    <w:rsid w:val="00B17540"/>
    <w:rsid w:val="00B17BF9"/>
    <w:rsid w:val="00B217F5"/>
    <w:rsid w:val="00B23813"/>
    <w:rsid w:val="00B24E92"/>
    <w:rsid w:val="00B25DD1"/>
    <w:rsid w:val="00B26827"/>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5790"/>
    <w:rsid w:val="00B4689F"/>
    <w:rsid w:val="00B475D0"/>
    <w:rsid w:val="00B47B9A"/>
    <w:rsid w:val="00B51643"/>
    <w:rsid w:val="00B51A68"/>
    <w:rsid w:val="00B52EA0"/>
    <w:rsid w:val="00B52FB6"/>
    <w:rsid w:val="00B54F02"/>
    <w:rsid w:val="00B60F51"/>
    <w:rsid w:val="00B62F69"/>
    <w:rsid w:val="00B63668"/>
    <w:rsid w:val="00B64448"/>
    <w:rsid w:val="00B653C1"/>
    <w:rsid w:val="00B71AB2"/>
    <w:rsid w:val="00B72683"/>
    <w:rsid w:val="00B75AB9"/>
    <w:rsid w:val="00B76374"/>
    <w:rsid w:val="00B7780E"/>
    <w:rsid w:val="00B80378"/>
    <w:rsid w:val="00B80BD8"/>
    <w:rsid w:val="00B814ED"/>
    <w:rsid w:val="00B81582"/>
    <w:rsid w:val="00B81EDD"/>
    <w:rsid w:val="00B846C9"/>
    <w:rsid w:val="00B8504E"/>
    <w:rsid w:val="00B91D9C"/>
    <w:rsid w:val="00B922F1"/>
    <w:rsid w:val="00B92377"/>
    <w:rsid w:val="00B934FC"/>
    <w:rsid w:val="00B93569"/>
    <w:rsid w:val="00B951FA"/>
    <w:rsid w:val="00B95A98"/>
    <w:rsid w:val="00B970C5"/>
    <w:rsid w:val="00B97B16"/>
    <w:rsid w:val="00BA0B6D"/>
    <w:rsid w:val="00BA1C4D"/>
    <w:rsid w:val="00BA268F"/>
    <w:rsid w:val="00BA35D2"/>
    <w:rsid w:val="00BA5285"/>
    <w:rsid w:val="00BA612E"/>
    <w:rsid w:val="00BB1818"/>
    <w:rsid w:val="00BB361A"/>
    <w:rsid w:val="00BB4F1B"/>
    <w:rsid w:val="00BB56C9"/>
    <w:rsid w:val="00BB7803"/>
    <w:rsid w:val="00BB7C45"/>
    <w:rsid w:val="00BC1C98"/>
    <w:rsid w:val="00BC3264"/>
    <w:rsid w:val="00BC483D"/>
    <w:rsid w:val="00BD0199"/>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D06"/>
    <w:rsid w:val="00C03F0E"/>
    <w:rsid w:val="00C0451C"/>
    <w:rsid w:val="00C04C9B"/>
    <w:rsid w:val="00C05024"/>
    <w:rsid w:val="00C05221"/>
    <w:rsid w:val="00C05754"/>
    <w:rsid w:val="00C05938"/>
    <w:rsid w:val="00C06E53"/>
    <w:rsid w:val="00C06F76"/>
    <w:rsid w:val="00C11B09"/>
    <w:rsid w:val="00C1568A"/>
    <w:rsid w:val="00C161A9"/>
    <w:rsid w:val="00C164A6"/>
    <w:rsid w:val="00C21726"/>
    <w:rsid w:val="00C21A20"/>
    <w:rsid w:val="00C21FF4"/>
    <w:rsid w:val="00C2246B"/>
    <w:rsid w:val="00C22D6F"/>
    <w:rsid w:val="00C254F3"/>
    <w:rsid w:val="00C30084"/>
    <w:rsid w:val="00C30D7A"/>
    <w:rsid w:val="00C32620"/>
    <w:rsid w:val="00C354E2"/>
    <w:rsid w:val="00C360E8"/>
    <w:rsid w:val="00C36DB2"/>
    <w:rsid w:val="00C37478"/>
    <w:rsid w:val="00C43CDE"/>
    <w:rsid w:val="00C44688"/>
    <w:rsid w:val="00C50230"/>
    <w:rsid w:val="00C50A59"/>
    <w:rsid w:val="00C50DB5"/>
    <w:rsid w:val="00C51014"/>
    <w:rsid w:val="00C52796"/>
    <w:rsid w:val="00C529E6"/>
    <w:rsid w:val="00C52B6B"/>
    <w:rsid w:val="00C536BD"/>
    <w:rsid w:val="00C53955"/>
    <w:rsid w:val="00C54A75"/>
    <w:rsid w:val="00C57570"/>
    <w:rsid w:val="00C600C1"/>
    <w:rsid w:val="00C61AF5"/>
    <w:rsid w:val="00C65EA7"/>
    <w:rsid w:val="00C67F84"/>
    <w:rsid w:val="00C70160"/>
    <w:rsid w:val="00C70589"/>
    <w:rsid w:val="00C714F2"/>
    <w:rsid w:val="00C7188B"/>
    <w:rsid w:val="00C73155"/>
    <w:rsid w:val="00C77448"/>
    <w:rsid w:val="00C774E6"/>
    <w:rsid w:val="00C80F10"/>
    <w:rsid w:val="00C83A02"/>
    <w:rsid w:val="00C84EF3"/>
    <w:rsid w:val="00C854C6"/>
    <w:rsid w:val="00C86C1E"/>
    <w:rsid w:val="00C87DE3"/>
    <w:rsid w:val="00C918A9"/>
    <w:rsid w:val="00C92664"/>
    <w:rsid w:val="00C93B05"/>
    <w:rsid w:val="00C94FD7"/>
    <w:rsid w:val="00C95AB2"/>
    <w:rsid w:val="00C9691F"/>
    <w:rsid w:val="00CA03CA"/>
    <w:rsid w:val="00CA1613"/>
    <w:rsid w:val="00CA4173"/>
    <w:rsid w:val="00CA4831"/>
    <w:rsid w:val="00CA4A89"/>
    <w:rsid w:val="00CB1B72"/>
    <w:rsid w:val="00CB5DA2"/>
    <w:rsid w:val="00CB6352"/>
    <w:rsid w:val="00CB6BB2"/>
    <w:rsid w:val="00CB743D"/>
    <w:rsid w:val="00CC2A51"/>
    <w:rsid w:val="00CC2AE6"/>
    <w:rsid w:val="00CC440E"/>
    <w:rsid w:val="00CC5C01"/>
    <w:rsid w:val="00CC5F46"/>
    <w:rsid w:val="00CC7CE8"/>
    <w:rsid w:val="00CC7E3E"/>
    <w:rsid w:val="00CD225D"/>
    <w:rsid w:val="00CD4449"/>
    <w:rsid w:val="00CD766C"/>
    <w:rsid w:val="00CE4B83"/>
    <w:rsid w:val="00CE6B67"/>
    <w:rsid w:val="00CE75DB"/>
    <w:rsid w:val="00CF03FB"/>
    <w:rsid w:val="00CF0AAE"/>
    <w:rsid w:val="00CF0C11"/>
    <w:rsid w:val="00CF11C0"/>
    <w:rsid w:val="00CF23FB"/>
    <w:rsid w:val="00CF34B1"/>
    <w:rsid w:val="00CF3723"/>
    <w:rsid w:val="00CF3D3F"/>
    <w:rsid w:val="00CF61BB"/>
    <w:rsid w:val="00CF648F"/>
    <w:rsid w:val="00D00965"/>
    <w:rsid w:val="00D02FD4"/>
    <w:rsid w:val="00D07095"/>
    <w:rsid w:val="00D07A91"/>
    <w:rsid w:val="00D10C9C"/>
    <w:rsid w:val="00D10F61"/>
    <w:rsid w:val="00D13C8B"/>
    <w:rsid w:val="00D147D8"/>
    <w:rsid w:val="00D168B1"/>
    <w:rsid w:val="00D16C97"/>
    <w:rsid w:val="00D2147F"/>
    <w:rsid w:val="00D24F8D"/>
    <w:rsid w:val="00D26B88"/>
    <w:rsid w:val="00D26BE6"/>
    <w:rsid w:val="00D31315"/>
    <w:rsid w:val="00D318DD"/>
    <w:rsid w:val="00D319C8"/>
    <w:rsid w:val="00D32FE6"/>
    <w:rsid w:val="00D33FAE"/>
    <w:rsid w:val="00D35720"/>
    <w:rsid w:val="00D35B0E"/>
    <w:rsid w:val="00D43DD8"/>
    <w:rsid w:val="00D466BB"/>
    <w:rsid w:val="00D519C3"/>
    <w:rsid w:val="00D54100"/>
    <w:rsid w:val="00D549AD"/>
    <w:rsid w:val="00D54CB4"/>
    <w:rsid w:val="00D5534E"/>
    <w:rsid w:val="00D55D48"/>
    <w:rsid w:val="00D5748B"/>
    <w:rsid w:val="00D57631"/>
    <w:rsid w:val="00D6192F"/>
    <w:rsid w:val="00D62141"/>
    <w:rsid w:val="00D63823"/>
    <w:rsid w:val="00D658DA"/>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9CE"/>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2C12"/>
    <w:rsid w:val="00DD2F04"/>
    <w:rsid w:val="00DD52AE"/>
    <w:rsid w:val="00DD6612"/>
    <w:rsid w:val="00DE042E"/>
    <w:rsid w:val="00DE17E7"/>
    <w:rsid w:val="00DE3EDF"/>
    <w:rsid w:val="00DE5387"/>
    <w:rsid w:val="00DF1389"/>
    <w:rsid w:val="00DF7167"/>
    <w:rsid w:val="00E021B9"/>
    <w:rsid w:val="00E02E53"/>
    <w:rsid w:val="00E03541"/>
    <w:rsid w:val="00E04639"/>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5FE9"/>
    <w:rsid w:val="00E264E6"/>
    <w:rsid w:val="00E2658B"/>
    <w:rsid w:val="00E26D75"/>
    <w:rsid w:val="00E26EA9"/>
    <w:rsid w:val="00E278DC"/>
    <w:rsid w:val="00E3177C"/>
    <w:rsid w:val="00E32618"/>
    <w:rsid w:val="00E35614"/>
    <w:rsid w:val="00E35EA1"/>
    <w:rsid w:val="00E36063"/>
    <w:rsid w:val="00E372B1"/>
    <w:rsid w:val="00E37C12"/>
    <w:rsid w:val="00E37D78"/>
    <w:rsid w:val="00E4114E"/>
    <w:rsid w:val="00E411DD"/>
    <w:rsid w:val="00E42167"/>
    <w:rsid w:val="00E47B9B"/>
    <w:rsid w:val="00E510B0"/>
    <w:rsid w:val="00E54000"/>
    <w:rsid w:val="00E54A47"/>
    <w:rsid w:val="00E572CA"/>
    <w:rsid w:val="00E57865"/>
    <w:rsid w:val="00E5796F"/>
    <w:rsid w:val="00E60616"/>
    <w:rsid w:val="00E662CE"/>
    <w:rsid w:val="00E66BD1"/>
    <w:rsid w:val="00E66F95"/>
    <w:rsid w:val="00E67EBF"/>
    <w:rsid w:val="00E67FE8"/>
    <w:rsid w:val="00E70AA6"/>
    <w:rsid w:val="00E72C47"/>
    <w:rsid w:val="00E731EE"/>
    <w:rsid w:val="00E73E4E"/>
    <w:rsid w:val="00E769DD"/>
    <w:rsid w:val="00E76BB8"/>
    <w:rsid w:val="00E771B0"/>
    <w:rsid w:val="00E824DF"/>
    <w:rsid w:val="00E83A5C"/>
    <w:rsid w:val="00E90563"/>
    <w:rsid w:val="00E92133"/>
    <w:rsid w:val="00E93CB5"/>
    <w:rsid w:val="00E9579B"/>
    <w:rsid w:val="00E957B7"/>
    <w:rsid w:val="00E97917"/>
    <w:rsid w:val="00E97D83"/>
    <w:rsid w:val="00EA0558"/>
    <w:rsid w:val="00EA3627"/>
    <w:rsid w:val="00EA7141"/>
    <w:rsid w:val="00EB0214"/>
    <w:rsid w:val="00EB1A0B"/>
    <w:rsid w:val="00EB46EA"/>
    <w:rsid w:val="00EB5A36"/>
    <w:rsid w:val="00EC108C"/>
    <w:rsid w:val="00EC45B0"/>
    <w:rsid w:val="00EC4830"/>
    <w:rsid w:val="00EC4C7D"/>
    <w:rsid w:val="00EC707F"/>
    <w:rsid w:val="00EC73F1"/>
    <w:rsid w:val="00ED07ED"/>
    <w:rsid w:val="00ED0F50"/>
    <w:rsid w:val="00ED1286"/>
    <w:rsid w:val="00ED2C6E"/>
    <w:rsid w:val="00ED63A5"/>
    <w:rsid w:val="00ED6C9C"/>
    <w:rsid w:val="00ED77AD"/>
    <w:rsid w:val="00ED781B"/>
    <w:rsid w:val="00ED7BE5"/>
    <w:rsid w:val="00EE38A2"/>
    <w:rsid w:val="00EE5127"/>
    <w:rsid w:val="00EE5AE0"/>
    <w:rsid w:val="00EE788E"/>
    <w:rsid w:val="00EF0338"/>
    <w:rsid w:val="00EF0ADE"/>
    <w:rsid w:val="00EF3DFB"/>
    <w:rsid w:val="00EF41BF"/>
    <w:rsid w:val="00EF65D5"/>
    <w:rsid w:val="00EF6EC6"/>
    <w:rsid w:val="00F00400"/>
    <w:rsid w:val="00F0156D"/>
    <w:rsid w:val="00F018D3"/>
    <w:rsid w:val="00F019DB"/>
    <w:rsid w:val="00F02785"/>
    <w:rsid w:val="00F02E8F"/>
    <w:rsid w:val="00F0365C"/>
    <w:rsid w:val="00F04DA8"/>
    <w:rsid w:val="00F05324"/>
    <w:rsid w:val="00F06AE2"/>
    <w:rsid w:val="00F11050"/>
    <w:rsid w:val="00F1153F"/>
    <w:rsid w:val="00F12270"/>
    <w:rsid w:val="00F131F4"/>
    <w:rsid w:val="00F13B9D"/>
    <w:rsid w:val="00F13E3F"/>
    <w:rsid w:val="00F14548"/>
    <w:rsid w:val="00F1793D"/>
    <w:rsid w:val="00F17A3D"/>
    <w:rsid w:val="00F201E1"/>
    <w:rsid w:val="00F21602"/>
    <w:rsid w:val="00F218F3"/>
    <w:rsid w:val="00F21A0F"/>
    <w:rsid w:val="00F25102"/>
    <w:rsid w:val="00F25FED"/>
    <w:rsid w:val="00F3009E"/>
    <w:rsid w:val="00F30CC5"/>
    <w:rsid w:val="00F32B91"/>
    <w:rsid w:val="00F32D3A"/>
    <w:rsid w:val="00F332C9"/>
    <w:rsid w:val="00F33760"/>
    <w:rsid w:val="00F34116"/>
    <w:rsid w:val="00F350C9"/>
    <w:rsid w:val="00F36A82"/>
    <w:rsid w:val="00F4067D"/>
    <w:rsid w:val="00F4315B"/>
    <w:rsid w:val="00F45A31"/>
    <w:rsid w:val="00F45CE8"/>
    <w:rsid w:val="00F460AD"/>
    <w:rsid w:val="00F4652A"/>
    <w:rsid w:val="00F472E2"/>
    <w:rsid w:val="00F51E42"/>
    <w:rsid w:val="00F523D6"/>
    <w:rsid w:val="00F52C30"/>
    <w:rsid w:val="00F548BE"/>
    <w:rsid w:val="00F54CB3"/>
    <w:rsid w:val="00F56709"/>
    <w:rsid w:val="00F56C05"/>
    <w:rsid w:val="00F57B7A"/>
    <w:rsid w:val="00F616FF"/>
    <w:rsid w:val="00F6473E"/>
    <w:rsid w:val="00F64AF3"/>
    <w:rsid w:val="00F64AFB"/>
    <w:rsid w:val="00F65871"/>
    <w:rsid w:val="00F665E2"/>
    <w:rsid w:val="00F66BC9"/>
    <w:rsid w:val="00F67FE5"/>
    <w:rsid w:val="00F712D8"/>
    <w:rsid w:val="00F72AFD"/>
    <w:rsid w:val="00F733F9"/>
    <w:rsid w:val="00F762B6"/>
    <w:rsid w:val="00F8173F"/>
    <w:rsid w:val="00F824AA"/>
    <w:rsid w:val="00F85553"/>
    <w:rsid w:val="00F86BB8"/>
    <w:rsid w:val="00F8713E"/>
    <w:rsid w:val="00F90C8A"/>
    <w:rsid w:val="00F92B3A"/>
    <w:rsid w:val="00F93BAA"/>
    <w:rsid w:val="00F944DF"/>
    <w:rsid w:val="00F95FA5"/>
    <w:rsid w:val="00F96378"/>
    <w:rsid w:val="00F966F8"/>
    <w:rsid w:val="00FA09E2"/>
    <w:rsid w:val="00FA13D7"/>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2018"/>
    <w:rsid w:val="00FE3FEB"/>
    <w:rsid w:val="00FE4A7A"/>
    <w:rsid w:val="00FE6819"/>
    <w:rsid w:val="00FE7076"/>
    <w:rsid w:val="00FE7CE4"/>
    <w:rsid w:val="00FF22A1"/>
    <w:rsid w:val="00FF2A4F"/>
    <w:rsid w:val="00FF2AC2"/>
    <w:rsid w:val="00FF2D36"/>
    <w:rsid w:val="00FF4AE1"/>
    <w:rsid w:val="00FF4EA7"/>
    <w:rsid w:val="00FF5B60"/>
    <w:rsid w:val="00FF5C81"/>
    <w:rsid w:val="00FF5FC6"/>
    <w:rsid w:val="00FF6361"/>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93055A"/>
  <w15:docId w15:val="{4D8DE06E-853E-445F-8058-7ABF5A6F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8B2232"/>
    <w:pPr>
      <w:numPr>
        <w:numId w:val="1"/>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8B2232"/>
    <w:pPr>
      <w:ind w:left="720" w:hanging="360"/>
      <w:contextualSpacing/>
    </w:pPr>
  </w:style>
  <w:style w:type="paragraph" w:customStyle="1" w:styleId="Measure">
    <w:name w:val="Measure"/>
    <w:basedOn w:val="Requirement"/>
    <w:rsid w:val="008B2232"/>
    <w:pPr>
      <w:numPr>
        <w:numId w:val="2"/>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nerc.com/FilingsOrders/us/FERCOrdersRules/Final%20Rule%20on%20GMD.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erc.com/FilingsOrders/us/FERCOrdersRules/Order779_GMD_RM12-22_20130516.pdf"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EOP-010-1</Number>
    <Date xmlns="078344ff-8d50-4bff-90aa-a5f449462ba4">2015-05-13T04:00:00+00:00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1543AA07-6115-43F0-9049-3B9EFA61A957}"/>
</file>

<file path=customXml/itemProps2.xml><?xml version="1.0" encoding="utf-8"?>
<ds:datastoreItem xmlns:ds="http://schemas.openxmlformats.org/officeDocument/2006/customXml" ds:itemID="{E7FEB41C-9DCB-47ED-A712-B319E6BD5007}"/>
</file>

<file path=customXml/itemProps3.xml><?xml version="1.0" encoding="utf-8"?>
<ds:datastoreItem xmlns:ds="http://schemas.openxmlformats.org/officeDocument/2006/customXml" ds:itemID="{F21CA5BC-52E3-4875-B0F6-AF8301A8202B}"/>
</file>

<file path=customXml/itemProps4.xml><?xml version="1.0" encoding="utf-8"?>
<ds:datastoreItem xmlns:ds="http://schemas.openxmlformats.org/officeDocument/2006/customXml" ds:itemID="{1A8AF50B-1B3A-45CA-BC1E-28FD4DD057C5}"/>
</file>

<file path=customXml/itemProps5.xml><?xml version="1.0" encoding="utf-8"?>
<ds:datastoreItem xmlns:ds="http://schemas.openxmlformats.org/officeDocument/2006/customXml" ds:itemID="{07182521-A969-461E-BF66-085E377BBBE3}"/>
</file>

<file path=docProps/app.xml><?xml version="1.0" encoding="utf-8"?>
<Properties xmlns="http://schemas.openxmlformats.org/officeDocument/2006/extended-properties" xmlns:vt="http://schemas.openxmlformats.org/officeDocument/2006/docPropsVTypes">
  <Template>Normal</Template>
  <TotalTime>4</TotalTime>
  <Pages>12</Pages>
  <Words>2265</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Geomagnetic Disturbance (GMD) Operations</vt:lpstr>
    </vt:vector>
  </TitlesOfParts>
  <Company>North American Electric Reliability Corporation</Company>
  <LinksUpToDate>false</LinksUpToDate>
  <CharactersWithSpaces>16559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Geomagnetic Disturbance (GMD) Operations</dc:title>
  <dc:creator>Matthew Gibbons</dc:creator>
  <cp:lastModifiedBy>Matthew Gibbons</cp:lastModifiedBy>
  <cp:revision>3</cp:revision>
  <dcterms:created xsi:type="dcterms:W3CDTF">2015-05-13T13:32:00Z</dcterms:created>
  <dcterms:modified xsi:type="dcterms:W3CDTF">2015-05-13T13:37:00Z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cedde11d-3d97-4689-8a88-ab5afcc43459</vt:lpwstr>
  </property>
  <property fmtid="{D5CDD505-2E9C-101B-9397-08002B2CF9AE}" pid="4" name="TemplateUrl">
    <vt:lpwstr/>
  </property>
  <property fmtid="{D5CDD505-2E9C-101B-9397-08002B2CF9AE}" pid="5" name="Order">
    <vt:r8>39800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_NewReviewCycle">
    <vt:lpwstr/>
  </property>
</Properties>
</file>